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F4294" w14:textId="77777777" w:rsidR="000F7A58" w:rsidRDefault="000F7A58" w:rsidP="000F7A58">
      <w:r>
        <w:rPr>
          <w:noProof/>
        </w:rPr>
        <w:drawing>
          <wp:inline distT="0" distB="0" distL="0" distR="0" wp14:anchorId="74C127D5" wp14:editId="6A80F8B7">
            <wp:extent cx="4590288" cy="1188720"/>
            <wp:effectExtent l="0" t="0" r="1270" b="0"/>
            <wp:docPr id="6262314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31447" name="Image 626231447"/>
                    <pic:cNvPicPr/>
                  </pic:nvPicPr>
                  <pic:blipFill>
                    <a:blip r:embed="rId8">
                      <a:extLst>
                        <a:ext uri="{28A0092B-C50C-407E-A947-70E740481C1C}">
                          <a14:useLocalDpi xmlns:a14="http://schemas.microsoft.com/office/drawing/2010/main" val="0"/>
                        </a:ext>
                      </a:extLst>
                    </a:blip>
                    <a:stretch>
                      <a:fillRect/>
                    </a:stretch>
                  </pic:blipFill>
                  <pic:spPr>
                    <a:xfrm>
                      <a:off x="0" y="0"/>
                      <a:ext cx="4590288" cy="1188720"/>
                    </a:xfrm>
                    <a:prstGeom prst="rect">
                      <a:avLst/>
                    </a:prstGeom>
                  </pic:spPr>
                </pic:pic>
              </a:graphicData>
            </a:graphic>
          </wp:inline>
        </w:drawing>
      </w:r>
    </w:p>
    <w:p w14:paraId="025566F5" w14:textId="77777777" w:rsidR="000F7A58" w:rsidRDefault="000F7A58" w:rsidP="000F7A58">
      <w:pPr>
        <w:rPr>
          <w:b/>
          <w:bCs/>
          <w:sz w:val="40"/>
          <w:szCs w:val="40"/>
        </w:rPr>
      </w:pPr>
    </w:p>
    <w:p w14:paraId="675F9B53" w14:textId="22967D66" w:rsidR="000F7A58" w:rsidRPr="000F7A58" w:rsidRDefault="000F7A58" w:rsidP="000F7A58">
      <w:pPr>
        <w:rPr>
          <w:b/>
          <w:bCs/>
          <w:sz w:val="40"/>
          <w:szCs w:val="40"/>
        </w:rPr>
      </w:pPr>
      <w:r w:rsidRPr="000F7A58">
        <w:rPr>
          <w:b/>
          <w:bCs/>
          <w:sz w:val="40"/>
          <w:szCs w:val="40"/>
        </w:rPr>
        <w:t>Contribution à la Conférence nationale du handicap 2026</w:t>
      </w:r>
    </w:p>
    <w:p w14:paraId="1AAF2351" w14:textId="2AF5B5C8" w:rsidR="000F7A58" w:rsidRDefault="000F7A58" w:rsidP="000F7A58">
      <w:r>
        <w:t>Avril 2026</w:t>
      </w:r>
    </w:p>
    <w:p w14:paraId="4634051F" w14:textId="77777777" w:rsidR="00195432" w:rsidRDefault="00195432" w:rsidP="000F7A58"/>
    <w:p w14:paraId="27803F09" w14:textId="2BC8821B" w:rsidR="000F7A58" w:rsidRPr="000F7A58" w:rsidRDefault="000F7A58" w:rsidP="000F7A58">
      <w:r w:rsidRPr="000F7A58">
        <w:t>Le Groupement national de coopération handicaps rares (GNCHR) souhaite apporter sa contribution à la prochaine Conférence nationale du handicap. En tant qu’acteur national de coordination, d’appui aux acteurs et de capitalisation des pratiques dans le champ des handicaps rares</w:t>
      </w:r>
      <w:r>
        <w:t xml:space="preserve"> et composé d’une quarantaine d’associations</w:t>
      </w:r>
      <w:r w:rsidRPr="000F7A58">
        <w:t>, il s’inscrit dans une dynamique visant à renforcer l’effectivité des droits des personnes et à soutenir la transformation de l’offre médico-sociale</w:t>
      </w:r>
      <w:r>
        <w:t xml:space="preserve"> pour améliorer les parcours de vie et de soin des personnes concernées</w:t>
      </w:r>
      <w:r w:rsidR="0024346B">
        <w:t xml:space="preserve"> par une situation de handicap complexe et sévère</w:t>
      </w:r>
      <w:r w:rsidRPr="000F7A58">
        <w:t xml:space="preserve">. Cette contribution porte sur quatre axes : la Communication Alternative et Améliorée, la </w:t>
      </w:r>
      <w:proofErr w:type="spellStart"/>
      <w:r w:rsidRPr="000F7A58">
        <w:t>surdicécité</w:t>
      </w:r>
      <w:proofErr w:type="spellEnd"/>
      <w:r w:rsidRPr="000F7A58">
        <w:t>, les communautés de pratiques</w:t>
      </w:r>
      <w:r>
        <w:t xml:space="preserve"> (COP)</w:t>
      </w:r>
      <w:r w:rsidRPr="000F7A58">
        <w:t xml:space="preserve"> et la perspective d’un quatrième schéma national des handicaps rares.</w:t>
      </w:r>
    </w:p>
    <w:p w14:paraId="7140D7AE" w14:textId="5B9CEB3D" w:rsidR="00063D41" w:rsidRDefault="000F7A58" w:rsidP="000F7A58">
      <w:r w:rsidRPr="000F7A58">
        <w:t xml:space="preserve">La </w:t>
      </w:r>
      <w:r w:rsidR="00147FE9">
        <w:t>c</w:t>
      </w:r>
      <w:r w:rsidRPr="000F7A58">
        <w:t xml:space="preserve">ommunication </w:t>
      </w:r>
      <w:r w:rsidR="00147FE9">
        <w:t>a</w:t>
      </w:r>
      <w:r w:rsidRPr="000F7A58">
        <w:t xml:space="preserve">lternative et </w:t>
      </w:r>
      <w:r w:rsidR="00147FE9">
        <w:t>a</w:t>
      </w:r>
      <w:r w:rsidRPr="000F7A58">
        <w:t xml:space="preserve">méliorée constitue un enjeu central du droit </w:t>
      </w:r>
      <w:r w:rsidR="00147FE9">
        <w:t xml:space="preserve">des personnes en situation de handicap, </w:t>
      </w:r>
      <w:r>
        <w:t>soutenu par nos membres depuis de nombreuses années.</w:t>
      </w:r>
      <w:r w:rsidRPr="000F7A58">
        <w:t xml:space="preserve"> Elle ne peut être réduite à un champ d’expertise réservé à quelques professionnels. Elle implique une </w:t>
      </w:r>
      <w:r>
        <w:t>(r)</w:t>
      </w:r>
      <w:r w:rsidRPr="000F7A58">
        <w:t xml:space="preserve">évolution des représentations et des pratiques, dans laquelle toute personne intervenant auprès d’une personne en situation de handicap </w:t>
      </w:r>
      <w:r w:rsidR="003966DD">
        <w:t xml:space="preserve">non </w:t>
      </w:r>
      <w:proofErr w:type="spellStart"/>
      <w:r w:rsidR="003966DD">
        <w:t>oralisante</w:t>
      </w:r>
      <w:proofErr w:type="spellEnd"/>
      <w:r w:rsidR="00ED1173">
        <w:t xml:space="preserve">, </w:t>
      </w:r>
      <w:r w:rsidRPr="000F7A58">
        <w:t xml:space="preserve">peut être amenée à jouer </w:t>
      </w:r>
      <w:r w:rsidRPr="000F7A58">
        <w:rPr>
          <w:b/>
          <w:bCs/>
        </w:rPr>
        <w:t>un rôle de partenaire de communication.</w:t>
      </w:r>
      <w:r w:rsidRPr="000F7A58">
        <w:t xml:space="preserve"> Cette notion </w:t>
      </w:r>
      <w:r>
        <w:t xml:space="preserve">doit être promue </w:t>
      </w:r>
      <w:r w:rsidRPr="000F7A58">
        <w:t>pour traduire la dimension interactive</w:t>
      </w:r>
      <w:r w:rsidR="00063D41">
        <w:t xml:space="preserve">, </w:t>
      </w:r>
      <w:r w:rsidRPr="000F7A58">
        <w:t>réciproque</w:t>
      </w:r>
      <w:r w:rsidR="00063D41">
        <w:t xml:space="preserve"> et universelle</w:t>
      </w:r>
      <w:r w:rsidRPr="000F7A58">
        <w:t xml:space="preserve"> de la communication</w:t>
      </w:r>
      <w:r w:rsidR="002C773D">
        <w:t xml:space="preserve">. </w:t>
      </w:r>
    </w:p>
    <w:p w14:paraId="63782888" w14:textId="4A1B6421" w:rsidR="00EA4A87" w:rsidRDefault="000F7A58" w:rsidP="000F7A58">
      <w:r w:rsidRPr="000F7A58">
        <w:t xml:space="preserve">Le déploiement des missions CAA </w:t>
      </w:r>
      <w:r w:rsidR="00063D41">
        <w:t xml:space="preserve">annoncé </w:t>
      </w:r>
      <w:r w:rsidRPr="000F7A58">
        <w:t>reste aujourd’hui inégal selon les territoires. Certaines régions n’ont pas encore engagé les appels à manifestation d’intérêt, tandis que les niveaux de financement diffèrent sensiblement</w:t>
      </w:r>
      <w:r>
        <w:t xml:space="preserve"> par rapport aux montants annoncés dans les circulaires budgétaires</w:t>
      </w:r>
      <w:r w:rsidRPr="000F7A58">
        <w:t xml:space="preserve">. Cette situation interroge l’équité d’accès et appelle </w:t>
      </w:r>
      <w:r w:rsidR="00DC5C82">
        <w:t xml:space="preserve">aussi </w:t>
      </w:r>
      <w:r w:rsidRPr="00DC5C82">
        <w:rPr>
          <w:b/>
          <w:bCs/>
        </w:rPr>
        <w:t>un</w:t>
      </w:r>
      <w:r w:rsidR="00884ECC" w:rsidRPr="00DC5C82">
        <w:rPr>
          <w:b/>
          <w:bCs/>
        </w:rPr>
        <w:t>e coordination</w:t>
      </w:r>
      <w:r w:rsidRPr="00DC5C82">
        <w:rPr>
          <w:b/>
          <w:bCs/>
        </w:rPr>
        <w:t xml:space="preserve"> national</w:t>
      </w:r>
      <w:r w:rsidR="00884ECC" w:rsidRPr="00DC5C82">
        <w:rPr>
          <w:b/>
          <w:bCs/>
        </w:rPr>
        <w:t>e</w:t>
      </w:r>
      <w:r w:rsidRPr="000F7A58">
        <w:t xml:space="preserve"> structuré</w:t>
      </w:r>
      <w:r w:rsidR="00884ECC">
        <w:t>e</w:t>
      </w:r>
      <w:r w:rsidRPr="000F7A58">
        <w:t xml:space="preserve"> afin d’harmoniser les mises en œuvre</w:t>
      </w:r>
      <w:r>
        <w:t xml:space="preserve"> comme stipulé dans l’instruction publié en juin 2025. </w:t>
      </w:r>
      <w:r w:rsidR="00C57811">
        <w:t xml:space="preserve">Cette coordination doit </w:t>
      </w:r>
      <w:r w:rsidR="004C7EAC">
        <w:t>permettre la transparence</w:t>
      </w:r>
      <w:r w:rsidR="00EA4A87">
        <w:t xml:space="preserve"> des contributions</w:t>
      </w:r>
      <w:r w:rsidR="004C7EAC">
        <w:t>,</w:t>
      </w:r>
      <w:r w:rsidR="00EA4A87">
        <w:t xml:space="preserve"> </w:t>
      </w:r>
      <w:r w:rsidR="004C7EAC">
        <w:t xml:space="preserve"> la garantie du respect de l’intérêt général</w:t>
      </w:r>
      <w:r w:rsidR="00EA4A87">
        <w:t>, la véracité scientifique des apports</w:t>
      </w:r>
      <w:r w:rsidR="004C7EAC">
        <w:t xml:space="preserve"> et </w:t>
      </w:r>
      <w:r w:rsidR="00EA4A87">
        <w:t>un changement d’échelle du déploiement de la CAA.</w:t>
      </w:r>
    </w:p>
    <w:p w14:paraId="1A96489E" w14:textId="0584217B" w:rsidR="00212D4C" w:rsidRDefault="000F7A58" w:rsidP="000F7A58">
      <w:r w:rsidRPr="000F7A58">
        <w:t xml:space="preserve">Par ailleurs, les outils numériques de communication soulèvent des enjeux nouveaux liés à la continuité des usages et </w:t>
      </w:r>
      <w:r>
        <w:t>donc à</w:t>
      </w:r>
      <w:r w:rsidRPr="000F7A58">
        <w:t xml:space="preserve"> la </w:t>
      </w:r>
      <w:r w:rsidRPr="000F7A58">
        <w:rPr>
          <w:b/>
          <w:bCs/>
        </w:rPr>
        <w:t>portabilité des données</w:t>
      </w:r>
      <w:r>
        <w:t xml:space="preserve"> si les </w:t>
      </w:r>
      <w:r w:rsidR="00BB56B1">
        <w:t>personnes</w:t>
      </w:r>
      <w:r>
        <w:t xml:space="preserve"> souhaitent changer d’outils ou de support</w:t>
      </w:r>
      <w:r w:rsidRPr="000F7A58">
        <w:t xml:space="preserve">. Ces questions renvoient directement aux droits des personnes et à la </w:t>
      </w:r>
      <w:r w:rsidRPr="000F7A58">
        <w:lastRenderedPageBreak/>
        <w:t>sécurisation de leurs parcours</w:t>
      </w:r>
      <w:r w:rsidR="00A70D8B">
        <w:t xml:space="preserve"> ce qui n’est pas mis en œuvre. </w:t>
      </w:r>
      <w:r w:rsidRPr="000F7A58">
        <w:t xml:space="preserve"> Elles supposent un cadre partagé</w:t>
      </w:r>
      <w:r>
        <w:t xml:space="preserve"> et potentiellement règlementaire</w:t>
      </w:r>
      <w:r w:rsidRPr="000F7A58">
        <w:t>.</w:t>
      </w:r>
      <w:r>
        <w:t xml:space="preserve"> </w:t>
      </w:r>
    </w:p>
    <w:p w14:paraId="7DFF06F8" w14:textId="17DD29B8" w:rsidR="000F7A58" w:rsidRPr="000F7A58" w:rsidRDefault="000F7A58" w:rsidP="000F7A58">
      <w:r>
        <w:t>Enfin, l</w:t>
      </w:r>
      <w:r w:rsidRPr="000F7A58">
        <w:t>a formation des aidants et des professionnels reste également un point de vigilance,</w:t>
      </w:r>
      <w:r>
        <w:t xml:space="preserve"> d’abord pour s’assurer d’un cadre de qualité d</w:t>
      </w:r>
      <w:r w:rsidR="00147FE9">
        <w:t>es contenus délivrés</w:t>
      </w:r>
      <w:r>
        <w:t xml:space="preserve"> mais aussi pour </w:t>
      </w:r>
      <w:r w:rsidRPr="000F7A58">
        <w:rPr>
          <w:b/>
          <w:bCs/>
        </w:rPr>
        <w:t>financer des parcours dédiés aux aidants</w:t>
      </w:r>
      <w:r>
        <w:t xml:space="preserve">, </w:t>
      </w:r>
      <w:r w:rsidRPr="000F7A58">
        <w:t xml:space="preserve">tout comme la nécessité d’ouvrir un </w:t>
      </w:r>
      <w:r w:rsidRPr="000F7A58">
        <w:rPr>
          <w:b/>
          <w:bCs/>
        </w:rPr>
        <w:t>espace de réflexion éthique</w:t>
      </w:r>
      <w:r w:rsidRPr="000F7A58">
        <w:t xml:space="preserve"> sur les pratiques de CAA.</w:t>
      </w:r>
    </w:p>
    <w:p w14:paraId="3BBB5BF8" w14:textId="5D1AC0BA" w:rsidR="000F7A58" w:rsidRPr="000F7A58" w:rsidRDefault="00214B52" w:rsidP="000F7A58">
      <w:r>
        <w:t xml:space="preserve">Concernant </w:t>
      </w:r>
      <w:r w:rsidR="00147FE9">
        <w:t>l</w:t>
      </w:r>
      <w:r w:rsidR="000F7A58" w:rsidRPr="000F7A58">
        <w:t xml:space="preserve">a situation des personnes </w:t>
      </w:r>
      <w:proofErr w:type="spellStart"/>
      <w:r w:rsidR="000F7A58" w:rsidRPr="000F7A58">
        <w:t>sourdaveugles</w:t>
      </w:r>
      <w:proofErr w:type="spellEnd"/>
      <w:r w:rsidR="00A45D47">
        <w:t>, elle</w:t>
      </w:r>
      <w:r w:rsidR="000F7A58" w:rsidRPr="000F7A58">
        <w:t xml:space="preserve"> met en évidence des écarts entre les orientations nationales et leur mise en œuvre effective. La question du maillage territorial demeure centrale. </w:t>
      </w:r>
      <w:r w:rsidR="000F7A58" w:rsidRPr="00CF55D3">
        <w:rPr>
          <w:b/>
          <w:bCs/>
        </w:rPr>
        <w:t>La labellisation de territoires</w:t>
      </w:r>
      <w:r w:rsidR="000F7A58" w:rsidRPr="000F7A58">
        <w:t xml:space="preserve"> capables de proposer des réponses adaptées pourrait contribuer à réduire ces disparités</w:t>
      </w:r>
      <w:r w:rsidR="00A45D47">
        <w:t xml:space="preserve"> comme proposé par le rapport ministériel </w:t>
      </w:r>
      <w:r w:rsidR="00A45D47" w:rsidRPr="00A45D47">
        <w:rPr>
          <w:i/>
          <w:iCs/>
        </w:rPr>
        <w:t xml:space="preserve">Pour améliorer la vie des personnes </w:t>
      </w:r>
      <w:proofErr w:type="spellStart"/>
      <w:r w:rsidR="00A45D47" w:rsidRPr="00A45D47">
        <w:rPr>
          <w:i/>
          <w:iCs/>
        </w:rPr>
        <w:t>sourdaveugles</w:t>
      </w:r>
      <w:proofErr w:type="spellEnd"/>
      <w:r w:rsidR="00A45D47" w:rsidRPr="00A45D47">
        <w:rPr>
          <w:i/>
          <w:iCs/>
        </w:rPr>
        <w:t>.</w:t>
      </w:r>
      <w:r w:rsidR="00A45D47">
        <w:t xml:space="preserve"> </w:t>
      </w:r>
      <w:r w:rsidR="000F7A58" w:rsidRPr="000F7A58">
        <w:t xml:space="preserve">Le </w:t>
      </w:r>
      <w:r w:rsidR="000F7A58" w:rsidRPr="00CF55D3">
        <w:rPr>
          <w:b/>
          <w:bCs/>
        </w:rPr>
        <w:t>développement de dispositifs mobiles</w:t>
      </w:r>
      <w:r w:rsidR="00A45D47">
        <w:t xml:space="preserve"> </w:t>
      </w:r>
      <w:r w:rsidR="000F7A58" w:rsidRPr="000F7A58">
        <w:t>permettant d’intervenir au domicile ou dans les lieux de vie constitue également une réponse attendue, notamment pour sécuriser les parcours après les phases de rééducation</w:t>
      </w:r>
      <w:r w:rsidR="00B82940">
        <w:t xml:space="preserve"> des personnes</w:t>
      </w:r>
      <w:r w:rsidR="000F7A58" w:rsidRPr="000F7A58">
        <w:t xml:space="preserve">. </w:t>
      </w:r>
      <w:r w:rsidR="00CF55D3">
        <w:t>A noter que l</w:t>
      </w:r>
      <w:r w:rsidR="000F7A58" w:rsidRPr="000F7A58">
        <w:t xml:space="preserve">es </w:t>
      </w:r>
      <w:r w:rsidR="000F7A58">
        <w:t xml:space="preserve">GEM </w:t>
      </w:r>
      <w:r w:rsidR="000F7A58" w:rsidRPr="000F7A58">
        <w:t xml:space="preserve">dédiés à la </w:t>
      </w:r>
      <w:proofErr w:type="spellStart"/>
      <w:r w:rsidR="000F7A58" w:rsidRPr="000F7A58">
        <w:t>surdicécité</w:t>
      </w:r>
      <w:proofErr w:type="spellEnd"/>
      <w:r w:rsidR="000F7A58" w:rsidRPr="000F7A58">
        <w:t>, annoncés depuis 2023, n’ont pas encore trouvé de traduction opérationnelle suffisante</w:t>
      </w:r>
      <w:r w:rsidR="00147FE9">
        <w:t xml:space="preserve"> or c’est un format réel de participation et d’autodétermination pour un handicap qui entraîne un isolement et de véritables contraintes communicationnelles.</w:t>
      </w:r>
    </w:p>
    <w:p w14:paraId="044B4131" w14:textId="6C094DB8" w:rsidR="000F7A58" w:rsidRPr="000F7A58" w:rsidRDefault="00147FE9" w:rsidP="000F7A58">
      <w:r>
        <w:t>En parallèle</w:t>
      </w:r>
      <w:r w:rsidRPr="00147FE9">
        <w:t xml:space="preserve">, </w:t>
      </w:r>
      <w:r w:rsidRPr="00147FE9">
        <w:rPr>
          <w:b/>
          <w:bCs/>
        </w:rPr>
        <w:t>les communautés de pratiques</w:t>
      </w:r>
      <w:r w:rsidRPr="00147FE9">
        <w:t xml:space="preserve"> </w:t>
      </w:r>
      <w:r w:rsidR="00C57525">
        <w:rPr>
          <w:rStyle w:val="Appelnotedebasdep"/>
        </w:rPr>
        <w:footnoteReference w:id="1"/>
      </w:r>
      <w:r w:rsidRPr="00147FE9">
        <w:t xml:space="preserve">jouent un rôle important dans la circulation des savoirs et l’évolution des pratiques professionnelles. Elles permettent de structurer des espaces de coopération entre acteurs, personnes concernées et proches, en s’appuyant sur le savoir expérientiel mais leur fonctionnement reste fragile et leur modèle économique peu stabilisé. Un cadre permettrait de faciliter l’accès à la formation des participants au COP mais aussi capitaliser sur ces modes testés sur des sujets comme la CAA, la </w:t>
      </w:r>
      <w:proofErr w:type="spellStart"/>
      <w:r w:rsidRPr="00147FE9">
        <w:t>surdicécité</w:t>
      </w:r>
      <w:proofErr w:type="spellEnd"/>
      <w:r w:rsidRPr="00147FE9">
        <w:t xml:space="preserve"> ou l’épilepsie sévère.</w:t>
      </w:r>
      <w:r>
        <w:t xml:space="preserve"> </w:t>
      </w:r>
      <w:r w:rsidR="000F7A58" w:rsidRPr="000F7A58">
        <w:t>Les communautés de pratiques constituent un levier de transformation des organisations et des pratiques dans le champ des handicaps rares. Elles reposent sur des dynamiques d’apprentissage collectif et de partage d’expériences. Elles permettent de faire émerger des solutions à partir des situations réelles rencontrées sur les territoires. Leur reconnaissance et leur structuration progressive apparaissent nécessaires pour en assurer la continuité et la diffusion. Elles doivent être mieux articulées avec les dispositifs existants et les fonctions ressources afin de renforcer leur impact.</w:t>
      </w:r>
    </w:p>
    <w:p w14:paraId="5255FD52" w14:textId="11A533D8" w:rsidR="00C57525" w:rsidRPr="00C57525" w:rsidRDefault="00B82732" w:rsidP="00C57525">
      <w:r>
        <w:t>Enfin, la</w:t>
      </w:r>
      <w:r w:rsidR="00C57525" w:rsidRPr="00C57525">
        <w:t xml:space="preserve"> perspective d’un </w:t>
      </w:r>
      <w:r w:rsidR="00C57525" w:rsidRPr="00C57525">
        <w:rPr>
          <w:b/>
          <w:bCs/>
        </w:rPr>
        <w:t>quatrième schéma national des handicaps rares</w:t>
      </w:r>
      <w:r w:rsidR="00C57525" w:rsidRPr="00C57525">
        <w:t xml:space="preserve"> </w:t>
      </w:r>
      <w:r w:rsidR="00C57525">
        <w:rPr>
          <w:rStyle w:val="Appelnotedebasdep"/>
        </w:rPr>
        <w:footnoteReference w:id="2"/>
      </w:r>
      <w:r w:rsidR="00C57525" w:rsidRPr="00C57525">
        <w:t xml:space="preserve">apparaît aujourd’hui </w:t>
      </w:r>
      <w:r>
        <w:t xml:space="preserve">plus que </w:t>
      </w:r>
      <w:r w:rsidR="00C57525" w:rsidRPr="00C57525">
        <w:t>nécessaire. Elle permettrait de donner un cadre lisible aux politiques publiques</w:t>
      </w:r>
      <w:r w:rsidR="00553894">
        <w:t xml:space="preserve"> en faveur des handicaps les plus complexes</w:t>
      </w:r>
      <w:r w:rsidR="00C57525" w:rsidRPr="00C57525">
        <w:t xml:space="preserve"> et de renforcer la cohérence des actions engagées et à poursuivre.</w:t>
      </w:r>
      <w:r w:rsidR="00C57525">
        <w:t xml:space="preserve"> </w:t>
      </w:r>
      <w:r w:rsidR="00C57525" w:rsidRPr="00C57525">
        <w:t>Elle offrirait un appui pour mieux soutenir les aidants</w:t>
      </w:r>
      <w:r w:rsidR="00382A17">
        <w:t xml:space="preserve"> concernés</w:t>
      </w:r>
      <w:r w:rsidR="00C57525" w:rsidRPr="00C57525">
        <w:t>, notamment lorsqu’ils avancent en âge alors qu’ils restent les premiers organisateurs du parcours de leur proche. Elle permettrait également de mieux structurer l’accompagnement des situations les plus complexes, qui exigent des réponses coordonnées et dans la durée</w:t>
      </w:r>
      <w:r w:rsidR="009657CA">
        <w:t xml:space="preserve">, en particulier face à des retentissements </w:t>
      </w:r>
      <w:r w:rsidR="00FF7C16">
        <w:t>se traduisant par des comportements-problèmes</w:t>
      </w:r>
      <w:r w:rsidR="004A66E8">
        <w:rPr>
          <w:rStyle w:val="Appelnotedebasdep"/>
        </w:rPr>
        <w:footnoteReference w:id="3"/>
      </w:r>
    </w:p>
    <w:p w14:paraId="1243F3FC" w14:textId="0CE0823F" w:rsidR="00C57525" w:rsidRPr="00C57525" w:rsidRDefault="00C57525" w:rsidP="00C57525">
      <w:r w:rsidRPr="00C57525">
        <w:t xml:space="preserve">Ce schéma viendrait consolider les </w:t>
      </w:r>
      <w:r>
        <w:t>é</w:t>
      </w:r>
      <w:r w:rsidRPr="00C57525">
        <w:t xml:space="preserve">quipes </w:t>
      </w:r>
      <w:r>
        <w:t>r</w:t>
      </w:r>
      <w:r w:rsidRPr="00C57525">
        <w:t xml:space="preserve">elais </w:t>
      </w:r>
      <w:r>
        <w:t>h</w:t>
      </w:r>
      <w:r w:rsidRPr="00C57525">
        <w:t xml:space="preserve">andicaps </w:t>
      </w:r>
      <w:r>
        <w:t>r</w:t>
      </w:r>
      <w:r w:rsidRPr="00C57525">
        <w:t>ares, dont l’expertise et l’expérience sont aujourd’hui reconnues. Il permettrait de poursuivre la capitalisation des pratiques et d’accélérer le déploiement des fonctions ressources sur les territoires.</w:t>
      </w:r>
      <w:r>
        <w:t xml:space="preserve"> </w:t>
      </w:r>
      <w:r w:rsidRPr="00C57525">
        <w:t>Enfin, il donnerait une meilleure lisibilité à l’organisation des réponses et faciliterait la coordination entre les acteurs, au service d’un accompagnement plus continu et plus cohérent des personnes concernées</w:t>
      </w:r>
    </w:p>
    <w:p w14:paraId="1D353985" w14:textId="77777777" w:rsidR="00396E0D" w:rsidRDefault="00396E0D"/>
    <w:p w14:paraId="04D08E40" w14:textId="38644DA3" w:rsidR="00465EFC" w:rsidRPr="00465EFC" w:rsidRDefault="00465EFC" w:rsidP="00465EFC">
      <w:pPr>
        <w:rPr>
          <w:b/>
          <w:bCs/>
        </w:rPr>
      </w:pPr>
      <w:r>
        <w:rPr>
          <w:b/>
          <w:bCs/>
        </w:rPr>
        <w:t>Récapitulatif p</w:t>
      </w:r>
      <w:r w:rsidRPr="00465EFC">
        <w:rPr>
          <w:b/>
          <w:bCs/>
        </w:rPr>
        <w:t>ropositions concrètes du GNCHR</w:t>
      </w:r>
    </w:p>
    <w:p w14:paraId="4FEDD9FB" w14:textId="77777777" w:rsidR="00465EFC" w:rsidRPr="00465EFC" w:rsidRDefault="00465EFC" w:rsidP="00465EFC">
      <w:pPr>
        <w:rPr>
          <w:b/>
          <w:bCs/>
        </w:rPr>
      </w:pPr>
      <w:r w:rsidRPr="00465EFC">
        <w:rPr>
          <w:b/>
          <w:bCs/>
        </w:rPr>
        <w:t>Axe 1 – Communication Alternative et Améliorée (CAA)</w:t>
      </w:r>
    </w:p>
    <w:p w14:paraId="72D05CE1" w14:textId="77777777" w:rsidR="00465EFC" w:rsidRPr="00465EFC" w:rsidRDefault="00465EFC" w:rsidP="00465EFC">
      <w:pPr>
        <w:numPr>
          <w:ilvl w:val="0"/>
          <w:numId w:val="5"/>
        </w:numPr>
      </w:pPr>
      <w:r w:rsidRPr="00465EFC">
        <w:t xml:space="preserve">Reconnaître la CAA comme priorité nationale d’accès aux droits. </w:t>
      </w:r>
    </w:p>
    <w:p w14:paraId="05DDBD10" w14:textId="62852061" w:rsidR="00465EFC" w:rsidRPr="00465EFC" w:rsidRDefault="00465EFC" w:rsidP="00465EFC">
      <w:pPr>
        <w:numPr>
          <w:ilvl w:val="0"/>
          <w:numId w:val="5"/>
        </w:numPr>
      </w:pPr>
      <w:r w:rsidRPr="00465EFC">
        <w:t xml:space="preserve">Mettre en place une coordination nationale des missions CAA.  </w:t>
      </w:r>
    </w:p>
    <w:p w14:paraId="26AAC536" w14:textId="77777777" w:rsidR="00465EFC" w:rsidRPr="00465EFC" w:rsidRDefault="00465EFC" w:rsidP="00465EFC">
      <w:pPr>
        <w:numPr>
          <w:ilvl w:val="0"/>
          <w:numId w:val="5"/>
        </w:numPr>
      </w:pPr>
      <w:r w:rsidRPr="00465EFC">
        <w:t xml:space="preserve">Créer un cadre national de formation pour professionnels et aidants. </w:t>
      </w:r>
    </w:p>
    <w:p w14:paraId="005C7D84" w14:textId="77777777" w:rsidR="00465EFC" w:rsidRPr="00465EFC" w:rsidRDefault="00465EFC" w:rsidP="00465EFC">
      <w:pPr>
        <w:numPr>
          <w:ilvl w:val="0"/>
          <w:numId w:val="5"/>
        </w:numPr>
      </w:pPr>
      <w:r w:rsidRPr="00465EFC">
        <w:t xml:space="preserve">Financer des parcours de formation dédiés aux aidants. </w:t>
      </w:r>
    </w:p>
    <w:p w14:paraId="7747DCB5" w14:textId="77777777" w:rsidR="00465EFC" w:rsidRPr="00465EFC" w:rsidRDefault="00465EFC" w:rsidP="00465EFC">
      <w:pPr>
        <w:numPr>
          <w:ilvl w:val="0"/>
          <w:numId w:val="5"/>
        </w:numPr>
      </w:pPr>
      <w:r w:rsidRPr="00465EFC">
        <w:t xml:space="preserve">Garantir la portabilité des données entre outils numériques de communication. </w:t>
      </w:r>
    </w:p>
    <w:p w14:paraId="1AEB0EF5" w14:textId="77777777" w:rsidR="00465EFC" w:rsidRPr="00465EFC" w:rsidRDefault="00465EFC" w:rsidP="00465EFC">
      <w:pPr>
        <w:numPr>
          <w:ilvl w:val="0"/>
          <w:numId w:val="5"/>
        </w:numPr>
      </w:pPr>
      <w:r w:rsidRPr="00465EFC">
        <w:t xml:space="preserve">Ouvrir un espace national de réflexion éthique sur la CAA. </w:t>
      </w:r>
    </w:p>
    <w:p w14:paraId="46A990F7" w14:textId="77777777" w:rsidR="00465EFC" w:rsidRPr="00465EFC" w:rsidRDefault="00465EFC" w:rsidP="00465EFC">
      <w:pPr>
        <w:rPr>
          <w:b/>
          <w:bCs/>
        </w:rPr>
      </w:pPr>
      <w:r w:rsidRPr="00465EFC">
        <w:rPr>
          <w:b/>
          <w:bCs/>
        </w:rPr>
        <w:t xml:space="preserve">Axe 2 – </w:t>
      </w:r>
      <w:proofErr w:type="spellStart"/>
      <w:r w:rsidRPr="00465EFC">
        <w:rPr>
          <w:b/>
          <w:bCs/>
        </w:rPr>
        <w:t>Surdicécité</w:t>
      </w:r>
      <w:proofErr w:type="spellEnd"/>
    </w:p>
    <w:p w14:paraId="722B23E7" w14:textId="77777777" w:rsidR="00465EFC" w:rsidRPr="00465EFC" w:rsidRDefault="00465EFC" w:rsidP="00465EFC">
      <w:pPr>
        <w:numPr>
          <w:ilvl w:val="0"/>
          <w:numId w:val="6"/>
        </w:numPr>
      </w:pPr>
      <w:r w:rsidRPr="00465EFC">
        <w:t xml:space="preserve">Labelliser des territoires ressources </w:t>
      </w:r>
      <w:proofErr w:type="spellStart"/>
      <w:r w:rsidRPr="00465EFC">
        <w:t>surdicécité</w:t>
      </w:r>
      <w:proofErr w:type="spellEnd"/>
      <w:r w:rsidRPr="00465EFC">
        <w:t xml:space="preserve">. </w:t>
      </w:r>
    </w:p>
    <w:p w14:paraId="7C0D3C64" w14:textId="22F41E35" w:rsidR="00465EFC" w:rsidRPr="00465EFC" w:rsidRDefault="002E318E" w:rsidP="00465EFC">
      <w:pPr>
        <w:numPr>
          <w:ilvl w:val="0"/>
          <w:numId w:val="6"/>
        </w:numPr>
      </w:pPr>
      <w:r>
        <w:t xml:space="preserve">Sécuriser les parcours notamment après </w:t>
      </w:r>
      <w:r w:rsidR="00F7650E">
        <w:t>les rééducations et d</w:t>
      </w:r>
      <w:r w:rsidR="00465EFC" w:rsidRPr="00465EFC">
        <w:t xml:space="preserve">éployer des équipes mobiles intervenant au domicile et lieux de vie. </w:t>
      </w:r>
    </w:p>
    <w:p w14:paraId="0A83A53E" w14:textId="77777777" w:rsidR="00465EFC" w:rsidRPr="00465EFC" w:rsidRDefault="00465EFC" w:rsidP="00465EFC">
      <w:pPr>
        <w:numPr>
          <w:ilvl w:val="0"/>
          <w:numId w:val="6"/>
        </w:numPr>
      </w:pPr>
      <w:r w:rsidRPr="00465EFC">
        <w:t xml:space="preserve">Accélérer la création de GEM dédiés à la </w:t>
      </w:r>
      <w:proofErr w:type="spellStart"/>
      <w:r w:rsidRPr="00465EFC">
        <w:t>surdicécité</w:t>
      </w:r>
      <w:proofErr w:type="spellEnd"/>
      <w:r w:rsidRPr="00465EFC">
        <w:t xml:space="preserve">. </w:t>
      </w:r>
    </w:p>
    <w:p w14:paraId="46136055" w14:textId="77777777" w:rsidR="00465EFC" w:rsidRPr="00465EFC" w:rsidRDefault="00465EFC" w:rsidP="00465EFC">
      <w:pPr>
        <w:rPr>
          <w:b/>
          <w:bCs/>
        </w:rPr>
      </w:pPr>
      <w:r w:rsidRPr="00465EFC">
        <w:rPr>
          <w:b/>
          <w:bCs/>
        </w:rPr>
        <w:t>Axe 3 – Communautés de pratiques (COP)</w:t>
      </w:r>
    </w:p>
    <w:p w14:paraId="70636F39" w14:textId="77777777" w:rsidR="00465EFC" w:rsidRPr="00465EFC" w:rsidRDefault="00465EFC" w:rsidP="00465EFC">
      <w:pPr>
        <w:numPr>
          <w:ilvl w:val="0"/>
          <w:numId w:val="7"/>
        </w:numPr>
      </w:pPr>
      <w:r w:rsidRPr="00465EFC">
        <w:t xml:space="preserve">Reconnaître officiellement les COP comme levier de transformation. </w:t>
      </w:r>
    </w:p>
    <w:p w14:paraId="1A593E6E" w14:textId="11E5825A" w:rsidR="00465EFC" w:rsidRPr="00465EFC" w:rsidRDefault="0060134F" w:rsidP="0060134F">
      <w:pPr>
        <w:numPr>
          <w:ilvl w:val="0"/>
          <w:numId w:val="7"/>
        </w:numPr>
      </w:pPr>
      <w:r>
        <w:t>F</w:t>
      </w:r>
      <w:r w:rsidR="00465EFC" w:rsidRPr="00465EFC">
        <w:t xml:space="preserve">aciliter l’accès à la formation des participants. </w:t>
      </w:r>
    </w:p>
    <w:p w14:paraId="6CBCB8A8" w14:textId="77777777" w:rsidR="00465EFC" w:rsidRPr="00465EFC" w:rsidRDefault="00465EFC" w:rsidP="00465EFC">
      <w:pPr>
        <w:numPr>
          <w:ilvl w:val="0"/>
          <w:numId w:val="7"/>
        </w:numPr>
      </w:pPr>
      <w:r w:rsidRPr="00465EFC">
        <w:t xml:space="preserve">Capitaliser et diffuser les expériences réussies. </w:t>
      </w:r>
    </w:p>
    <w:p w14:paraId="1F04F5CD" w14:textId="77777777" w:rsidR="00465EFC" w:rsidRPr="00465EFC" w:rsidRDefault="00465EFC" w:rsidP="00465EFC">
      <w:pPr>
        <w:numPr>
          <w:ilvl w:val="0"/>
          <w:numId w:val="7"/>
        </w:numPr>
      </w:pPr>
      <w:r w:rsidRPr="00465EFC">
        <w:t xml:space="preserve">Articuler les COP avec les fonctions ressources et dispositifs existants. </w:t>
      </w:r>
    </w:p>
    <w:p w14:paraId="1C567B30" w14:textId="77777777" w:rsidR="00465EFC" w:rsidRPr="00465EFC" w:rsidRDefault="00465EFC" w:rsidP="00465EFC">
      <w:pPr>
        <w:rPr>
          <w:b/>
          <w:bCs/>
        </w:rPr>
      </w:pPr>
      <w:r w:rsidRPr="00465EFC">
        <w:rPr>
          <w:b/>
          <w:bCs/>
        </w:rPr>
        <w:t>Axe 4 – 4e Schéma national handicaps rares</w:t>
      </w:r>
    </w:p>
    <w:p w14:paraId="3CC09F61" w14:textId="77777777" w:rsidR="00465EFC" w:rsidRPr="00465EFC" w:rsidRDefault="00465EFC" w:rsidP="00465EFC">
      <w:pPr>
        <w:numPr>
          <w:ilvl w:val="0"/>
          <w:numId w:val="8"/>
        </w:numPr>
      </w:pPr>
      <w:r w:rsidRPr="00465EFC">
        <w:t xml:space="preserve">Lancer un 4e Schéma national des handicaps rares. </w:t>
      </w:r>
    </w:p>
    <w:p w14:paraId="44AF15E5" w14:textId="77777777" w:rsidR="00465EFC" w:rsidRPr="00465EFC" w:rsidRDefault="00465EFC" w:rsidP="00465EFC">
      <w:pPr>
        <w:numPr>
          <w:ilvl w:val="0"/>
          <w:numId w:val="8"/>
        </w:numPr>
      </w:pPr>
      <w:r w:rsidRPr="00465EFC">
        <w:t xml:space="preserve">Consolider les Équipes Relais Handicaps Rares (ERHR). </w:t>
      </w:r>
    </w:p>
    <w:p w14:paraId="0BE7BAE0" w14:textId="77777777" w:rsidR="00465EFC" w:rsidRPr="00465EFC" w:rsidRDefault="00465EFC" w:rsidP="00465EFC">
      <w:pPr>
        <w:numPr>
          <w:ilvl w:val="0"/>
          <w:numId w:val="8"/>
        </w:numPr>
      </w:pPr>
      <w:r w:rsidRPr="00465EFC">
        <w:t xml:space="preserve">Accélérer le déploiement des fonctions ressources territoriales. </w:t>
      </w:r>
    </w:p>
    <w:p w14:paraId="53F8DE31" w14:textId="096B5CAE" w:rsidR="00465EFC" w:rsidRPr="00465EFC" w:rsidRDefault="00465EFC" w:rsidP="00465EFC">
      <w:pPr>
        <w:numPr>
          <w:ilvl w:val="0"/>
          <w:numId w:val="8"/>
        </w:numPr>
      </w:pPr>
      <w:r w:rsidRPr="00465EFC">
        <w:t xml:space="preserve">Renforcer l’accompagnement des situations </w:t>
      </w:r>
      <w:r w:rsidR="00BB2BB6">
        <w:t xml:space="preserve">les plus </w:t>
      </w:r>
      <w:r w:rsidRPr="00465EFC">
        <w:t xml:space="preserve">complexes. </w:t>
      </w:r>
    </w:p>
    <w:p w14:paraId="0D70EE32" w14:textId="77777777" w:rsidR="00465EFC" w:rsidRDefault="00465EFC" w:rsidP="00465EFC">
      <w:pPr>
        <w:numPr>
          <w:ilvl w:val="0"/>
          <w:numId w:val="8"/>
        </w:numPr>
      </w:pPr>
      <w:r w:rsidRPr="00465EFC">
        <w:t xml:space="preserve">Soutenir davantage les aidants, notamment vieillissants. </w:t>
      </w:r>
    </w:p>
    <w:p w14:paraId="5382340A" w14:textId="25C96F9D" w:rsidR="002764E0" w:rsidRDefault="002764E0" w:rsidP="00465EFC">
      <w:pPr>
        <w:numPr>
          <w:ilvl w:val="0"/>
          <w:numId w:val="8"/>
        </w:numPr>
      </w:pPr>
      <w:r>
        <w:t xml:space="preserve">Décloisonner les parcours </w:t>
      </w:r>
      <w:r w:rsidR="001065AD">
        <w:t>« </w:t>
      </w:r>
      <w:r w:rsidR="0040190C">
        <w:t>r</w:t>
      </w:r>
      <w:r w:rsidR="001065AD">
        <w:t>are »</w:t>
      </w:r>
      <w:r w:rsidR="004C1FA0">
        <w:t xml:space="preserve"> </w:t>
      </w:r>
      <w:r w:rsidR="007E4D75">
        <w:t>(soins,</w:t>
      </w:r>
      <w:r w:rsidR="00FA5C33">
        <w:t xml:space="preserve"> </w:t>
      </w:r>
      <w:r w:rsidR="00655D4D">
        <w:t>médico-social, milieu ordinaire</w:t>
      </w:r>
      <w:r w:rsidR="00FA5C33">
        <w:t>) pour améliorer la vie des personnes</w:t>
      </w:r>
    </w:p>
    <w:p w14:paraId="6C9630AD" w14:textId="3008F71F" w:rsidR="00195432" w:rsidRPr="00195432" w:rsidRDefault="00FB2E30" w:rsidP="00195432">
      <w:pPr>
        <w:numPr>
          <w:ilvl w:val="0"/>
          <w:numId w:val="8"/>
        </w:numPr>
      </w:pPr>
      <w:r>
        <w:t>Investir dans la recherche participativ</w:t>
      </w:r>
      <w:r w:rsidR="00BA0472">
        <w:t>e</w:t>
      </w:r>
    </w:p>
    <w:p w14:paraId="2EBD3B83" w14:textId="77777777" w:rsidR="00195432" w:rsidRDefault="00195432">
      <w:pPr>
        <w:rPr>
          <w:b/>
          <w:bCs/>
          <w:color w:val="153D63" w:themeColor="text2" w:themeTint="E6"/>
          <w:sz w:val="28"/>
          <w:szCs w:val="28"/>
        </w:rPr>
      </w:pPr>
    </w:p>
    <w:p w14:paraId="30ED1690" w14:textId="77777777" w:rsidR="00195432" w:rsidRDefault="00195432">
      <w:pPr>
        <w:rPr>
          <w:b/>
          <w:bCs/>
          <w:color w:val="153D63" w:themeColor="text2" w:themeTint="E6"/>
          <w:sz w:val="28"/>
          <w:szCs w:val="28"/>
        </w:rPr>
      </w:pPr>
    </w:p>
    <w:p w14:paraId="5F4016DE" w14:textId="2B9F3FC6" w:rsidR="00AC0433" w:rsidRPr="00CA4B24" w:rsidRDefault="00AC0433">
      <w:pPr>
        <w:rPr>
          <w:b/>
          <w:bCs/>
          <w:color w:val="153D63" w:themeColor="text2" w:themeTint="E6"/>
          <w:sz w:val="28"/>
          <w:szCs w:val="28"/>
        </w:rPr>
      </w:pPr>
      <w:r w:rsidRPr="00CA4B24">
        <w:rPr>
          <w:b/>
          <w:bCs/>
          <w:color w:val="153D63" w:themeColor="text2" w:themeTint="E6"/>
          <w:sz w:val="28"/>
          <w:szCs w:val="28"/>
        </w:rPr>
        <w:t xml:space="preserve">À propos du Groupement National de Coopération Handicaps Rares </w:t>
      </w:r>
    </w:p>
    <w:p w14:paraId="7FC658D2" w14:textId="1B6E9160" w:rsidR="00AC0433" w:rsidRDefault="00AC0433">
      <w:r w:rsidRPr="00AC0433">
        <w:t xml:space="preserve">Le GNCHR est un réseau au service de la personne en situation de handicap rare, de son entourage et des professionnels qui l’accompagnent. Il coordonne et structure les missions du réseau composé de 4 Centres Nationaux de Ressources Handicap Rare (CNRHR) et de 13 Equipes Relais (ERHR). Il a aussi pour mission de diffuser les connaissances sur le handicap rare auprès des publics. Site web : </w:t>
      </w:r>
      <w:hyperlink r:id="rId9" w:history="1">
        <w:r w:rsidR="00195432" w:rsidRPr="009A31BA">
          <w:rPr>
            <w:rStyle w:val="Lienhypertexte"/>
          </w:rPr>
          <w:t>www.gnchr.fr</w:t>
        </w:r>
      </w:hyperlink>
    </w:p>
    <w:p w14:paraId="6C6772B7" w14:textId="77777777" w:rsidR="00195432" w:rsidRDefault="00195432"/>
    <w:sectPr w:rsidR="0019543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CF4" w14:textId="77777777" w:rsidR="008140D3" w:rsidRDefault="008140D3" w:rsidP="00C57525">
      <w:pPr>
        <w:spacing w:after="0" w:line="240" w:lineRule="auto"/>
      </w:pPr>
      <w:r>
        <w:separator/>
      </w:r>
    </w:p>
  </w:endnote>
  <w:endnote w:type="continuationSeparator" w:id="0">
    <w:p w14:paraId="23ABA3E6" w14:textId="77777777" w:rsidR="008140D3" w:rsidRDefault="008140D3" w:rsidP="00C5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F42E" w14:textId="31C0A8D8" w:rsidR="001231B7" w:rsidRDefault="001231B7">
    <w:pPr>
      <w:pStyle w:val="Pieddepage"/>
    </w:pPr>
  </w:p>
  <w:p w14:paraId="049F4D88" w14:textId="77777777" w:rsidR="00195432" w:rsidRPr="00195432" w:rsidRDefault="00195432" w:rsidP="00195432">
    <w:pPr>
      <w:spacing w:before="30" w:after="0" w:line="240" w:lineRule="auto"/>
      <w:ind w:left="851" w:right="-419"/>
      <w:rPr>
        <w:rFonts w:ascii="Adobe Garamond Pro Bold" w:eastAsia="Adobe Garamond Pro Bold" w:hAnsi="Adobe Garamond Pro Bold" w:cs="Adobe Garamond Pro Bold"/>
        <w:b/>
        <w:bCs/>
        <w:color w:val="0656A3"/>
        <w:spacing w:val="5"/>
        <w:kern w:val="0"/>
        <w:sz w:val="20"/>
        <w:szCs w:val="20"/>
        <w14:ligatures w14:val="none"/>
      </w:rPr>
    </w:pPr>
    <w:r w:rsidRPr="00195432">
      <w:rPr>
        <w:rFonts w:ascii="Adobe Garamond Pro Bold" w:eastAsia="Adobe Garamond Pro Bold" w:hAnsi="Adobe Garamond Pro Bold" w:cs="Adobe Garamond Pro Bold"/>
        <w:b/>
        <w:bCs/>
        <w:color w:val="0656A3"/>
        <w:kern w:val="0"/>
        <w:sz w:val="20"/>
        <w:szCs w:val="20"/>
        <w14:ligatures w14:val="none"/>
      </w:rPr>
      <w:t>G</w:t>
    </w:r>
    <w:r w:rsidRPr="00195432">
      <w:rPr>
        <w:rFonts w:ascii="Adobe Garamond Pro Bold" w:eastAsia="Adobe Garamond Pro Bold" w:hAnsi="Adobe Garamond Pro Bold" w:cs="Adobe Garamond Pro Bold"/>
        <w:b/>
        <w:bCs/>
        <w:color w:val="0656A3"/>
        <w:spacing w:val="4"/>
        <w:kern w:val="0"/>
        <w:sz w:val="20"/>
        <w:szCs w:val="20"/>
        <w14:ligatures w14:val="none"/>
      </w:rPr>
      <w:t>r</w:t>
    </w:r>
    <w:r w:rsidRPr="00195432">
      <w:rPr>
        <w:rFonts w:ascii="Adobe Garamond Pro Bold" w:eastAsia="Adobe Garamond Pro Bold" w:hAnsi="Adobe Garamond Pro Bold" w:cs="Adobe Garamond Pro Bold"/>
        <w:b/>
        <w:bCs/>
        <w:color w:val="0656A3"/>
        <w:spacing w:val="5"/>
        <w:kern w:val="0"/>
        <w:sz w:val="20"/>
        <w:szCs w:val="20"/>
        <w14:ligatures w14:val="none"/>
      </w:rPr>
      <w:t>oupemen</w:t>
    </w:r>
    <w:r w:rsidRPr="00195432">
      <w:rPr>
        <w:rFonts w:ascii="Adobe Garamond Pro Bold" w:eastAsia="Adobe Garamond Pro Bold" w:hAnsi="Adobe Garamond Pro Bold" w:cs="Adobe Garamond Pro Bold"/>
        <w:b/>
        <w:bCs/>
        <w:color w:val="0656A3"/>
        <w:kern w:val="0"/>
        <w:sz w:val="20"/>
        <w:szCs w:val="20"/>
        <w14:ligatures w14:val="none"/>
      </w:rPr>
      <w:t>t</w:t>
    </w:r>
    <w:r w:rsidRPr="00195432">
      <w:rPr>
        <w:rFonts w:ascii="Adobe Garamond Pro Bold" w:eastAsia="Adobe Garamond Pro Bold" w:hAnsi="Adobe Garamond Pro Bold" w:cs="Adobe Garamond Pro Bold"/>
        <w:b/>
        <w:bCs/>
        <w:color w:val="0656A3"/>
        <w:spacing w:val="10"/>
        <w:kern w:val="0"/>
        <w:sz w:val="20"/>
        <w:szCs w:val="20"/>
        <w14:ligatures w14:val="none"/>
      </w:rPr>
      <w:t xml:space="preserve"> </w:t>
    </w:r>
    <w:r w:rsidRPr="00195432">
      <w:rPr>
        <w:rFonts w:ascii="Adobe Garamond Pro Bold" w:eastAsia="Adobe Garamond Pro Bold" w:hAnsi="Adobe Garamond Pro Bold" w:cs="Adobe Garamond Pro Bold"/>
        <w:b/>
        <w:bCs/>
        <w:color w:val="0656A3"/>
        <w:spacing w:val="-1"/>
        <w:kern w:val="0"/>
        <w:sz w:val="20"/>
        <w:szCs w:val="20"/>
        <w14:ligatures w14:val="none"/>
      </w:rPr>
      <w:t>N</w:t>
    </w:r>
    <w:r w:rsidRPr="00195432">
      <w:rPr>
        <w:rFonts w:ascii="Adobe Garamond Pro Bold" w:eastAsia="Adobe Garamond Pro Bold" w:hAnsi="Adobe Garamond Pro Bold" w:cs="Adobe Garamond Pro Bold"/>
        <w:b/>
        <w:bCs/>
        <w:color w:val="0656A3"/>
        <w:spacing w:val="5"/>
        <w:kern w:val="0"/>
        <w:sz w:val="20"/>
        <w:szCs w:val="20"/>
        <w14:ligatures w14:val="none"/>
      </w:rPr>
      <w:t>ationa</w:t>
    </w:r>
    <w:r w:rsidRPr="00195432">
      <w:rPr>
        <w:rFonts w:ascii="Adobe Garamond Pro Bold" w:eastAsia="Adobe Garamond Pro Bold" w:hAnsi="Adobe Garamond Pro Bold" w:cs="Adobe Garamond Pro Bold"/>
        <w:b/>
        <w:bCs/>
        <w:color w:val="0656A3"/>
        <w:kern w:val="0"/>
        <w:sz w:val="20"/>
        <w:szCs w:val="20"/>
        <w14:ligatures w14:val="none"/>
      </w:rPr>
      <w:t>l</w:t>
    </w:r>
    <w:r w:rsidRPr="00195432">
      <w:rPr>
        <w:rFonts w:ascii="Adobe Garamond Pro Bold" w:eastAsia="Adobe Garamond Pro Bold" w:hAnsi="Adobe Garamond Pro Bold" w:cs="Adobe Garamond Pro Bold"/>
        <w:b/>
        <w:bCs/>
        <w:color w:val="0656A3"/>
        <w:spacing w:val="10"/>
        <w:kern w:val="0"/>
        <w:sz w:val="20"/>
        <w:szCs w:val="20"/>
        <w14:ligatures w14:val="none"/>
      </w:rPr>
      <w:t xml:space="preserve"> </w:t>
    </w:r>
    <w:r w:rsidRPr="00195432">
      <w:rPr>
        <w:rFonts w:ascii="Adobe Garamond Pro Bold" w:eastAsia="Adobe Garamond Pro Bold" w:hAnsi="Adobe Garamond Pro Bold" w:cs="Adobe Garamond Pro Bold"/>
        <w:b/>
        <w:bCs/>
        <w:color w:val="0656A3"/>
        <w:spacing w:val="5"/>
        <w:kern w:val="0"/>
        <w:sz w:val="20"/>
        <w:szCs w:val="20"/>
        <w14:ligatures w14:val="none"/>
      </w:rPr>
      <w:t>d</w:t>
    </w:r>
    <w:r w:rsidRPr="00195432">
      <w:rPr>
        <w:rFonts w:ascii="Adobe Garamond Pro Bold" w:eastAsia="Adobe Garamond Pro Bold" w:hAnsi="Adobe Garamond Pro Bold" w:cs="Adobe Garamond Pro Bold"/>
        <w:b/>
        <w:bCs/>
        <w:color w:val="0656A3"/>
        <w:kern w:val="0"/>
        <w:sz w:val="20"/>
        <w:szCs w:val="20"/>
        <w14:ligatures w14:val="none"/>
      </w:rPr>
      <w:t>e</w:t>
    </w:r>
    <w:r w:rsidRPr="00195432">
      <w:rPr>
        <w:rFonts w:ascii="Adobe Garamond Pro Bold" w:eastAsia="Adobe Garamond Pro Bold" w:hAnsi="Adobe Garamond Pro Bold" w:cs="Adobe Garamond Pro Bold"/>
        <w:b/>
        <w:bCs/>
        <w:color w:val="0656A3"/>
        <w:spacing w:val="10"/>
        <w:kern w:val="0"/>
        <w:sz w:val="20"/>
        <w:szCs w:val="20"/>
        <w14:ligatures w14:val="none"/>
      </w:rPr>
      <w:t xml:space="preserve"> </w:t>
    </w:r>
    <w:r w:rsidRPr="00195432">
      <w:rPr>
        <w:rFonts w:ascii="Adobe Garamond Pro Bold" w:eastAsia="Adobe Garamond Pro Bold" w:hAnsi="Adobe Garamond Pro Bold" w:cs="Adobe Garamond Pro Bold"/>
        <w:b/>
        <w:bCs/>
        <w:color w:val="0656A3"/>
        <w:spacing w:val="5"/>
        <w:kern w:val="0"/>
        <w:sz w:val="20"/>
        <w:szCs w:val="20"/>
        <w14:ligatures w14:val="none"/>
      </w:rPr>
      <w:t>Coopératio</w:t>
    </w:r>
    <w:r w:rsidRPr="00195432">
      <w:rPr>
        <w:rFonts w:ascii="Adobe Garamond Pro Bold" w:eastAsia="Adobe Garamond Pro Bold" w:hAnsi="Adobe Garamond Pro Bold" w:cs="Adobe Garamond Pro Bold"/>
        <w:b/>
        <w:bCs/>
        <w:color w:val="0656A3"/>
        <w:kern w:val="0"/>
        <w:sz w:val="20"/>
        <w:szCs w:val="20"/>
        <w14:ligatures w14:val="none"/>
      </w:rPr>
      <w:t>n</w:t>
    </w:r>
    <w:r w:rsidRPr="00195432">
      <w:rPr>
        <w:rFonts w:ascii="Adobe Garamond Pro Bold" w:eastAsia="Adobe Garamond Pro Bold" w:hAnsi="Adobe Garamond Pro Bold" w:cs="Adobe Garamond Pro Bold"/>
        <w:b/>
        <w:bCs/>
        <w:color w:val="0656A3"/>
        <w:spacing w:val="10"/>
        <w:kern w:val="0"/>
        <w:sz w:val="20"/>
        <w:szCs w:val="20"/>
        <w14:ligatures w14:val="none"/>
      </w:rPr>
      <w:t xml:space="preserve"> </w:t>
    </w:r>
    <w:r w:rsidRPr="00195432">
      <w:rPr>
        <w:rFonts w:ascii="Adobe Garamond Pro Bold" w:eastAsia="Adobe Garamond Pro Bold" w:hAnsi="Adobe Garamond Pro Bold" w:cs="Adobe Garamond Pro Bold"/>
        <w:b/>
        <w:bCs/>
        <w:color w:val="0656A3"/>
        <w:spacing w:val="3"/>
        <w:kern w:val="0"/>
        <w:sz w:val="20"/>
        <w:szCs w:val="20"/>
        <w14:ligatures w14:val="none"/>
      </w:rPr>
      <w:t>H</w:t>
    </w:r>
    <w:r w:rsidRPr="00195432">
      <w:rPr>
        <w:rFonts w:ascii="Adobe Garamond Pro Bold" w:eastAsia="Adobe Garamond Pro Bold" w:hAnsi="Adobe Garamond Pro Bold" w:cs="Adobe Garamond Pro Bold"/>
        <w:b/>
        <w:bCs/>
        <w:color w:val="0656A3"/>
        <w:spacing w:val="5"/>
        <w:kern w:val="0"/>
        <w:sz w:val="20"/>
        <w:szCs w:val="20"/>
        <w14:ligatures w14:val="none"/>
      </w:rPr>
      <w:t>andicap</w:t>
    </w:r>
    <w:r w:rsidRPr="00195432">
      <w:rPr>
        <w:rFonts w:ascii="Adobe Garamond Pro Bold" w:eastAsia="Adobe Garamond Pro Bold" w:hAnsi="Adobe Garamond Pro Bold" w:cs="Adobe Garamond Pro Bold"/>
        <w:b/>
        <w:bCs/>
        <w:color w:val="0656A3"/>
        <w:kern w:val="0"/>
        <w:sz w:val="20"/>
        <w:szCs w:val="20"/>
        <w14:ligatures w14:val="none"/>
      </w:rPr>
      <w:t>s</w:t>
    </w:r>
    <w:r w:rsidRPr="00195432">
      <w:rPr>
        <w:rFonts w:ascii="Adobe Garamond Pro Bold" w:eastAsia="Adobe Garamond Pro Bold" w:hAnsi="Adobe Garamond Pro Bold" w:cs="Adobe Garamond Pro Bold"/>
        <w:b/>
        <w:bCs/>
        <w:color w:val="0656A3"/>
        <w:spacing w:val="10"/>
        <w:kern w:val="0"/>
        <w:sz w:val="20"/>
        <w:szCs w:val="20"/>
        <w14:ligatures w14:val="none"/>
      </w:rPr>
      <w:t xml:space="preserve"> </w:t>
    </w:r>
    <w:r w:rsidRPr="00195432">
      <w:rPr>
        <w:rFonts w:ascii="Adobe Garamond Pro Bold" w:eastAsia="Adobe Garamond Pro Bold" w:hAnsi="Adobe Garamond Pro Bold" w:cs="Adobe Garamond Pro Bold"/>
        <w:b/>
        <w:bCs/>
        <w:color w:val="0656A3"/>
        <w:spacing w:val="6"/>
        <w:kern w:val="0"/>
        <w:sz w:val="20"/>
        <w:szCs w:val="20"/>
        <w14:ligatures w14:val="none"/>
      </w:rPr>
      <w:t>R</w:t>
    </w:r>
    <w:r w:rsidRPr="00195432">
      <w:rPr>
        <w:rFonts w:ascii="Adobe Garamond Pro Bold" w:eastAsia="Adobe Garamond Pro Bold" w:hAnsi="Adobe Garamond Pro Bold" w:cs="Adobe Garamond Pro Bold"/>
        <w:b/>
        <w:bCs/>
        <w:color w:val="0656A3"/>
        <w:spacing w:val="5"/>
        <w:kern w:val="0"/>
        <w:sz w:val="20"/>
        <w:szCs w:val="20"/>
        <w14:ligatures w14:val="none"/>
      </w:rPr>
      <w:t>a</w:t>
    </w:r>
    <w:r w:rsidRPr="00195432">
      <w:rPr>
        <w:rFonts w:ascii="Adobe Garamond Pro Bold" w:eastAsia="Adobe Garamond Pro Bold" w:hAnsi="Adobe Garamond Pro Bold" w:cs="Adobe Garamond Pro Bold"/>
        <w:b/>
        <w:bCs/>
        <w:color w:val="0656A3"/>
        <w:spacing w:val="1"/>
        <w:kern w:val="0"/>
        <w:sz w:val="20"/>
        <w:szCs w:val="20"/>
        <w14:ligatures w14:val="none"/>
      </w:rPr>
      <w:t>r</w:t>
    </w:r>
    <w:r w:rsidRPr="00195432">
      <w:rPr>
        <w:rFonts w:ascii="Adobe Garamond Pro Bold" w:eastAsia="Adobe Garamond Pro Bold" w:hAnsi="Adobe Garamond Pro Bold" w:cs="Adobe Garamond Pro Bold"/>
        <w:b/>
        <w:bCs/>
        <w:color w:val="0656A3"/>
        <w:spacing w:val="5"/>
        <w:kern w:val="0"/>
        <w:sz w:val="20"/>
        <w:szCs w:val="20"/>
        <w14:ligatures w14:val="none"/>
      </w:rPr>
      <w:t>es</w:t>
    </w:r>
  </w:p>
  <w:p w14:paraId="6E6E10F4" w14:textId="77777777" w:rsidR="00195432" w:rsidRPr="00195432" w:rsidRDefault="00195432" w:rsidP="00195432">
    <w:pPr>
      <w:spacing w:after="0" w:line="240" w:lineRule="exact"/>
      <w:ind w:right="6" w:firstLine="851"/>
      <w:rPr>
        <w:rFonts w:ascii="Calibri" w:eastAsia="Times New Roman" w:hAnsi="Calibri" w:cs="Arial"/>
        <w:kern w:val="0"/>
        <w:sz w:val="18"/>
        <w:szCs w:val="18"/>
        <w14:ligatures w14:val="none"/>
      </w:rPr>
    </w:pPr>
    <w:r w:rsidRPr="00195432">
      <w:rPr>
        <w:rFonts w:ascii="Adobe Garamond Pro Bold" w:eastAsia="Adobe Garamond Pro Bold" w:hAnsi="Adobe Garamond Pro Bold" w:cs="Adobe Garamond Pro Bold"/>
        <w:color w:val="0656A3"/>
        <w:spacing w:val="5"/>
        <w:kern w:val="0"/>
        <w:sz w:val="18"/>
        <w:szCs w:val="18"/>
        <w14:ligatures w14:val="none"/>
      </w:rPr>
      <w:t xml:space="preserve">Groupement de coopération Sociale et Médico-Sociale - </w:t>
    </w:r>
    <w:r w:rsidRPr="00195432">
      <w:rPr>
        <w:rFonts w:ascii="Adobe Garamond Pro" w:eastAsia="Adobe Garamond Pro" w:hAnsi="Adobe Garamond Pro" w:cs="Adobe Garamond Pro"/>
        <w:color w:val="0656A3"/>
        <w:spacing w:val="3"/>
        <w:kern w:val="0"/>
        <w:position w:val="2"/>
        <w:sz w:val="20"/>
        <w:szCs w:val="20"/>
        <w14:ligatures w14:val="none"/>
      </w:rPr>
      <w:t>S</w:t>
    </w:r>
    <w:r w:rsidRPr="00195432">
      <w:rPr>
        <w:rFonts w:ascii="Adobe Garamond Pro" w:eastAsia="Adobe Garamond Pro" w:hAnsi="Adobe Garamond Pro" w:cs="Adobe Garamond Pro"/>
        <w:color w:val="0656A3"/>
        <w:spacing w:val="5"/>
        <w:kern w:val="0"/>
        <w:position w:val="2"/>
        <w:sz w:val="20"/>
        <w:szCs w:val="20"/>
        <w14:ligatures w14:val="none"/>
      </w:rPr>
      <w:t>i</w:t>
    </w:r>
    <w:r w:rsidRPr="00195432">
      <w:rPr>
        <w:rFonts w:ascii="Adobe Garamond Pro" w:eastAsia="Adobe Garamond Pro" w:hAnsi="Adobe Garamond Pro" w:cs="Adobe Garamond Pro"/>
        <w:color w:val="0656A3"/>
        <w:spacing w:val="3"/>
        <w:kern w:val="0"/>
        <w:position w:val="2"/>
        <w:sz w:val="20"/>
        <w:szCs w:val="20"/>
        <w14:ligatures w14:val="none"/>
      </w:rPr>
      <w:t>r</w:t>
    </w:r>
    <w:r w:rsidRPr="00195432">
      <w:rPr>
        <w:rFonts w:ascii="Adobe Garamond Pro" w:eastAsia="Adobe Garamond Pro" w:hAnsi="Adobe Garamond Pro" w:cs="Adobe Garamond Pro"/>
        <w:color w:val="0656A3"/>
        <w:spacing w:val="5"/>
        <w:kern w:val="0"/>
        <w:position w:val="2"/>
        <w:sz w:val="20"/>
        <w:szCs w:val="20"/>
        <w14:ligatures w14:val="none"/>
      </w:rPr>
      <w:t>e</w:t>
    </w:r>
    <w:r w:rsidRPr="00195432">
      <w:rPr>
        <w:rFonts w:ascii="Adobe Garamond Pro" w:eastAsia="Adobe Garamond Pro" w:hAnsi="Adobe Garamond Pro" w:cs="Adobe Garamond Pro"/>
        <w:color w:val="0656A3"/>
        <w:kern w:val="0"/>
        <w:position w:val="2"/>
        <w:sz w:val="20"/>
        <w:szCs w:val="20"/>
        <w14:ligatures w14:val="none"/>
      </w:rPr>
      <w:t>t :</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spacing w:val="5"/>
        <w:kern w:val="0"/>
        <w:position w:val="2"/>
        <w:sz w:val="20"/>
        <w:szCs w:val="20"/>
        <w14:ligatures w14:val="none"/>
      </w:rPr>
      <w:t>52</w:t>
    </w:r>
    <w:r w:rsidRPr="00195432">
      <w:rPr>
        <w:rFonts w:ascii="Adobe Garamond Pro" w:eastAsia="Adobe Garamond Pro" w:hAnsi="Adobe Garamond Pro" w:cs="Adobe Garamond Pro"/>
        <w:color w:val="0656A3"/>
        <w:kern w:val="0"/>
        <w:position w:val="2"/>
        <w:sz w:val="20"/>
        <w:szCs w:val="20"/>
        <w14:ligatures w14:val="none"/>
      </w:rPr>
      <w:t>9</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spacing w:val="5"/>
        <w:kern w:val="0"/>
        <w:position w:val="2"/>
        <w:sz w:val="20"/>
        <w:szCs w:val="20"/>
        <w14:ligatures w14:val="none"/>
      </w:rPr>
      <w:t>76</w:t>
    </w:r>
    <w:r w:rsidRPr="00195432">
      <w:rPr>
        <w:rFonts w:ascii="Adobe Garamond Pro" w:eastAsia="Adobe Garamond Pro" w:hAnsi="Adobe Garamond Pro" w:cs="Adobe Garamond Pro"/>
        <w:color w:val="0656A3"/>
        <w:kern w:val="0"/>
        <w:position w:val="2"/>
        <w:sz w:val="20"/>
        <w:szCs w:val="20"/>
        <w14:ligatures w14:val="none"/>
      </w:rPr>
      <w:t>6</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spacing w:val="5"/>
        <w:kern w:val="0"/>
        <w:position w:val="2"/>
        <w:sz w:val="20"/>
        <w:szCs w:val="20"/>
        <w14:ligatures w14:val="none"/>
      </w:rPr>
      <w:t>11</w:t>
    </w:r>
    <w:r w:rsidRPr="00195432">
      <w:rPr>
        <w:rFonts w:ascii="Adobe Garamond Pro" w:eastAsia="Adobe Garamond Pro" w:hAnsi="Adobe Garamond Pro" w:cs="Adobe Garamond Pro"/>
        <w:color w:val="0656A3"/>
        <w:kern w:val="0"/>
        <w:position w:val="2"/>
        <w:sz w:val="20"/>
        <w:szCs w:val="20"/>
        <w14:ligatures w14:val="none"/>
      </w:rPr>
      <w:t>5</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spacing w:val="5"/>
        <w:kern w:val="0"/>
        <w:position w:val="2"/>
        <w:sz w:val="20"/>
        <w:szCs w:val="20"/>
        <w14:ligatures w14:val="none"/>
      </w:rPr>
      <w:t>00032</w:t>
    </w:r>
  </w:p>
  <w:p w14:paraId="0F8D4379" w14:textId="77777777" w:rsidR="00195432" w:rsidRPr="00195432" w:rsidRDefault="00195432" w:rsidP="00195432">
    <w:pPr>
      <w:spacing w:after="0" w:line="250" w:lineRule="exact"/>
      <w:ind w:right="-561" w:firstLine="851"/>
      <w:rPr>
        <w:rFonts w:ascii="Adobe Garamond Pro Bold" w:eastAsia="Adobe Garamond Pro Bold" w:hAnsi="Adobe Garamond Pro Bold" w:cs="Adobe Garamond Pro Bold"/>
        <w:color w:val="0656A3"/>
        <w:spacing w:val="5"/>
        <w:kern w:val="0"/>
        <w:position w:val="2"/>
        <w:sz w:val="20"/>
        <w:szCs w:val="20"/>
        <w14:ligatures w14:val="none"/>
      </w:rPr>
    </w:pPr>
    <w:r w:rsidRPr="00195432">
      <w:rPr>
        <w:rFonts w:ascii="Adobe Garamond Pro" w:eastAsia="Adobe Garamond Pro" w:hAnsi="Adobe Garamond Pro" w:cs="Adobe Garamond Pro"/>
        <w:color w:val="0656A3"/>
        <w:spacing w:val="-19"/>
        <w:kern w:val="0"/>
        <w:position w:val="2"/>
        <w:sz w:val="20"/>
        <w:szCs w:val="20"/>
        <w14:ligatures w14:val="none"/>
      </w:rPr>
      <w:t>T</w:t>
    </w:r>
    <w:r w:rsidRPr="00195432">
      <w:rPr>
        <w:rFonts w:ascii="Adobe Garamond Pro" w:eastAsia="Adobe Garamond Pro" w:hAnsi="Adobe Garamond Pro" w:cs="Adobe Garamond Pro"/>
        <w:color w:val="0656A3"/>
        <w:spacing w:val="5"/>
        <w:kern w:val="0"/>
        <w:position w:val="2"/>
        <w:sz w:val="20"/>
        <w:szCs w:val="20"/>
        <w14:ligatures w14:val="none"/>
      </w:rPr>
      <w:t>é</w:t>
    </w:r>
    <w:r w:rsidRPr="00195432">
      <w:rPr>
        <w:rFonts w:ascii="Adobe Garamond Pro" w:eastAsia="Adobe Garamond Pro" w:hAnsi="Adobe Garamond Pro" w:cs="Adobe Garamond Pro"/>
        <w:color w:val="0656A3"/>
        <w:kern w:val="0"/>
        <w:position w:val="2"/>
        <w:sz w:val="20"/>
        <w:szCs w:val="20"/>
        <w14:ligatures w14:val="none"/>
      </w:rPr>
      <w:t>l</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kern w:val="0"/>
        <w:position w:val="2"/>
        <w:sz w:val="20"/>
        <w:szCs w:val="20"/>
        <w14:ligatures w14:val="none"/>
      </w:rPr>
      <w:t>:</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spacing w:val="5"/>
        <w:kern w:val="0"/>
        <w:position w:val="2"/>
        <w:sz w:val="20"/>
        <w:szCs w:val="20"/>
        <w14:ligatures w14:val="none"/>
      </w:rPr>
      <w:t>+33(0)</w:t>
    </w:r>
    <w:r w:rsidRPr="00195432">
      <w:rPr>
        <w:rFonts w:ascii="Adobe Garamond Pro" w:eastAsia="Adobe Garamond Pro" w:hAnsi="Adobe Garamond Pro" w:cs="Adobe Garamond Pro"/>
        <w:color w:val="0656A3"/>
        <w:kern w:val="0"/>
        <w:position w:val="2"/>
        <w:sz w:val="20"/>
        <w:szCs w:val="20"/>
        <w14:ligatures w14:val="none"/>
      </w:rPr>
      <w:t>1</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spacing w:val="5"/>
        <w:kern w:val="0"/>
        <w:position w:val="2"/>
        <w:sz w:val="20"/>
        <w:szCs w:val="20"/>
        <w14:ligatures w14:val="none"/>
      </w:rPr>
      <w:t>4</w:t>
    </w:r>
    <w:r w:rsidRPr="00195432">
      <w:rPr>
        <w:rFonts w:ascii="Adobe Garamond Pro" w:eastAsia="Adobe Garamond Pro" w:hAnsi="Adobe Garamond Pro" w:cs="Adobe Garamond Pro"/>
        <w:color w:val="0656A3"/>
        <w:kern w:val="0"/>
        <w:position w:val="2"/>
        <w:sz w:val="20"/>
        <w:szCs w:val="20"/>
        <w14:ligatures w14:val="none"/>
      </w:rPr>
      <w:t>0</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spacing w:val="5"/>
        <w:kern w:val="0"/>
        <w:position w:val="2"/>
        <w:sz w:val="20"/>
        <w:szCs w:val="20"/>
        <w14:ligatures w14:val="none"/>
      </w:rPr>
      <w:t>1</w:t>
    </w:r>
    <w:r w:rsidRPr="00195432">
      <w:rPr>
        <w:rFonts w:ascii="Adobe Garamond Pro" w:eastAsia="Adobe Garamond Pro" w:hAnsi="Adobe Garamond Pro" w:cs="Adobe Garamond Pro"/>
        <w:color w:val="0656A3"/>
        <w:kern w:val="0"/>
        <w:position w:val="2"/>
        <w:sz w:val="20"/>
        <w:szCs w:val="20"/>
        <w14:ligatures w14:val="none"/>
      </w:rPr>
      <w:t>9</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spacing w:val="5"/>
        <w:kern w:val="0"/>
        <w:position w:val="2"/>
        <w:sz w:val="20"/>
        <w:szCs w:val="20"/>
        <w14:ligatures w14:val="none"/>
      </w:rPr>
      <w:t>1</w:t>
    </w:r>
    <w:r w:rsidRPr="00195432">
      <w:rPr>
        <w:rFonts w:ascii="Adobe Garamond Pro" w:eastAsia="Adobe Garamond Pro" w:hAnsi="Adobe Garamond Pro" w:cs="Adobe Garamond Pro"/>
        <w:color w:val="0656A3"/>
        <w:kern w:val="0"/>
        <w:position w:val="2"/>
        <w:sz w:val="20"/>
        <w:szCs w:val="20"/>
        <w14:ligatures w14:val="none"/>
      </w:rPr>
      <w:t>4</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spacing w:val="5"/>
        <w:kern w:val="0"/>
        <w:position w:val="2"/>
        <w:sz w:val="20"/>
        <w:szCs w:val="20"/>
        <w14:ligatures w14:val="none"/>
      </w:rPr>
      <w:t>7</w:t>
    </w:r>
    <w:r w:rsidRPr="00195432">
      <w:rPr>
        <w:rFonts w:ascii="Adobe Garamond Pro" w:eastAsia="Adobe Garamond Pro" w:hAnsi="Adobe Garamond Pro" w:cs="Adobe Garamond Pro"/>
        <w:color w:val="0656A3"/>
        <w:kern w:val="0"/>
        <w:position w:val="2"/>
        <w:sz w:val="20"/>
        <w:szCs w:val="20"/>
        <w14:ligatures w14:val="none"/>
      </w:rPr>
      <w:t>3</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r w:rsidRPr="00195432">
      <w:rPr>
        <w:rFonts w:ascii="Adobe Garamond Pro" w:eastAsia="Adobe Garamond Pro" w:hAnsi="Adobe Garamond Pro" w:cs="Adobe Garamond Pro"/>
        <w:color w:val="0656A3"/>
        <w:kern w:val="0"/>
        <w:position w:val="2"/>
        <w:sz w:val="20"/>
        <w:szCs w:val="20"/>
        <w14:ligatures w14:val="none"/>
      </w:rPr>
      <w:t>–</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hyperlink r:id="rId1">
      <w:r w:rsidRPr="00195432">
        <w:rPr>
          <w:rFonts w:ascii="Adobe Garamond Pro" w:eastAsia="Adobe Garamond Pro" w:hAnsi="Adobe Garamond Pro" w:cs="Adobe Garamond Pro"/>
          <w:color w:val="0656A3"/>
          <w:spacing w:val="5"/>
          <w:kern w:val="0"/>
          <w:position w:val="2"/>
          <w:sz w:val="20"/>
          <w:szCs w:val="20"/>
          <w14:ligatures w14:val="none"/>
        </w:rPr>
        <w:t>ww</w:t>
      </w:r>
      <w:r w:rsidRPr="00195432">
        <w:rPr>
          <w:rFonts w:ascii="Adobe Garamond Pro" w:eastAsia="Adobe Garamond Pro" w:hAnsi="Adobe Garamond Pro" w:cs="Adobe Garamond Pro"/>
          <w:color w:val="0656A3"/>
          <w:spacing w:val="-10"/>
          <w:kern w:val="0"/>
          <w:position w:val="2"/>
          <w:sz w:val="20"/>
          <w:szCs w:val="20"/>
          <w14:ligatures w14:val="none"/>
        </w:rPr>
        <w:t>w</w:t>
      </w:r>
      <w:r w:rsidRPr="00195432">
        <w:rPr>
          <w:rFonts w:ascii="Adobe Garamond Pro" w:eastAsia="Adobe Garamond Pro" w:hAnsi="Adobe Garamond Pro" w:cs="Adobe Garamond Pro"/>
          <w:color w:val="0656A3"/>
          <w:spacing w:val="5"/>
          <w:kern w:val="0"/>
          <w:position w:val="2"/>
          <w:sz w:val="20"/>
          <w:szCs w:val="20"/>
          <w14:ligatures w14:val="none"/>
        </w:rPr>
        <w:t>.</w:t>
      </w:r>
      <w:r w:rsidRPr="00195432">
        <w:rPr>
          <w:rFonts w:ascii="Adobe Garamond Pro Bold" w:eastAsia="Adobe Garamond Pro Bold" w:hAnsi="Adobe Garamond Pro Bold" w:cs="Adobe Garamond Pro Bold"/>
          <w:color w:val="0656A3"/>
          <w:spacing w:val="5"/>
          <w:kern w:val="0"/>
          <w:position w:val="2"/>
          <w:sz w:val="20"/>
          <w:szCs w:val="20"/>
          <w14:ligatures w14:val="none"/>
        </w:rPr>
        <w:t>gnch</w:t>
      </w:r>
      <w:r w:rsidRPr="00195432">
        <w:rPr>
          <w:rFonts w:ascii="Adobe Garamond Pro Bold" w:eastAsia="Adobe Garamond Pro Bold" w:hAnsi="Adobe Garamond Pro Bold" w:cs="Adobe Garamond Pro Bold"/>
          <w:color w:val="0656A3"/>
          <w:spacing w:val="-7"/>
          <w:kern w:val="0"/>
          <w:position w:val="2"/>
          <w:sz w:val="20"/>
          <w:szCs w:val="20"/>
          <w14:ligatures w14:val="none"/>
        </w:rPr>
        <w:t>r</w:t>
      </w:r>
      <w:r w:rsidRPr="00195432">
        <w:rPr>
          <w:rFonts w:ascii="Adobe Garamond Pro Bold" w:eastAsia="Adobe Garamond Pro Bold" w:hAnsi="Adobe Garamond Pro Bold" w:cs="Adobe Garamond Pro Bold"/>
          <w:color w:val="0656A3"/>
          <w:spacing w:val="5"/>
          <w:kern w:val="0"/>
          <w:position w:val="2"/>
          <w:sz w:val="20"/>
          <w:szCs w:val="20"/>
          <w14:ligatures w14:val="none"/>
        </w:rPr>
        <w:t>.f</w:t>
      </w:r>
      <w:r w:rsidRPr="00195432">
        <w:rPr>
          <w:rFonts w:ascii="Adobe Garamond Pro Bold" w:eastAsia="Adobe Garamond Pro Bold" w:hAnsi="Adobe Garamond Pro Bold" w:cs="Adobe Garamond Pro Bold"/>
          <w:color w:val="0656A3"/>
          <w:kern w:val="0"/>
          <w:position w:val="2"/>
          <w:sz w:val="20"/>
          <w:szCs w:val="20"/>
          <w14:ligatures w14:val="none"/>
        </w:rPr>
        <w:t>r</w:t>
      </w:r>
      <w:r w:rsidRPr="00195432">
        <w:rPr>
          <w:rFonts w:ascii="Adobe Garamond Pro Bold" w:eastAsia="Adobe Garamond Pro Bold" w:hAnsi="Adobe Garamond Pro Bold" w:cs="Adobe Garamond Pro Bold"/>
          <w:b/>
          <w:bCs/>
          <w:color w:val="0656A3"/>
          <w:spacing w:val="10"/>
          <w:kern w:val="0"/>
          <w:position w:val="2"/>
          <w:sz w:val="20"/>
          <w:szCs w:val="20"/>
          <w14:ligatures w14:val="none"/>
        </w:rPr>
        <w:t xml:space="preserve"> </w:t>
      </w:r>
    </w:hyperlink>
    <w:r w:rsidRPr="00195432">
      <w:rPr>
        <w:rFonts w:ascii="Adobe Garamond Pro" w:eastAsia="Adobe Garamond Pro" w:hAnsi="Adobe Garamond Pro" w:cs="Adobe Garamond Pro"/>
        <w:color w:val="0656A3"/>
        <w:kern w:val="0"/>
        <w:position w:val="2"/>
        <w:sz w:val="20"/>
        <w:szCs w:val="20"/>
        <w14:ligatures w14:val="none"/>
      </w:rPr>
      <w:t>–</w:t>
    </w:r>
    <w:r w:rsidRPr="00195432">
      <w:rPr>
        <w:rFonts w:ascii="Adobe Garamond Pro" w:eastAsia="Adobe Garamond Pro" w:hAnsi="Adobe Garamond Pro" w:cs="Adobe Garamond Pro"/>
        <w:color w:val="0656A3"/>
        <w:spacing w:val="10"/>
        <w:kern w:val="0"/>
        <w:position w:val="2"/>
        <w:sz w:val="20"/>
        <w:szCs w:val="20"/>
        <w14:ligatures w14:val="none"/>
      </w:rPr>
      <w:t xml:space="preserve"> </w:t>
    </w:r>
    <w:hyperlink r:id="rId2" w:history="1">
      <w:r w:rsidRPr="00195432">
        <w:rPr>
          <w:rFonts w:ascii="Adobe Garamond Pro Bold" w:eastAsia="Adobe Garamond Pro Bold" w:hAnsi="Adobe Garamond Pro Bold" w:cs="Adobe Garamond Pro Bold"/>
          <w:b/>
          <w:bCs/>
          <w:color w:val="0656A3"/>
          <w:spacing w:val="5"/>
          <w:kern w:val="0"/>
          <w:position w:val="2"/>
          <w:sz w:val="20"/>
          <w:szCs w:val="20"/>
          <w14:ligatures w14:val="none"/>
        </w:rPr>
        <w:t>contact@gnchr.fr</w:t>
      </w:r>
    </w:hyperlink>
  </w:p>
  <w:p w14:paraId="270D2640" w14:textId="77777777" w:rsidR="001231B7" w:rsidRDefault="001231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7FA1" w14:textId="77777777" w:rsidR="008140D3" w:rsidRDefault="008140D3" w:rsidP="00C57525">
      <w:pPr>
        <w:spacing w:after="0" w:line="240" w:lineRule="auto"/>
      </w:pPr>
      <w:r>
        <w:separator/>
      </w:r>
    </w:p>
  </w:footnote>
  <w:footnote w:type="continuationSeparator" w:id="0">
    <w:p w14:paraId="66975AD4" w14:textId="77777777" w:rsidR="008140D3" w:rsidRDefault="008140D3" w:rsidP="00C57525">
      <w:pPr>
        <w:spacing w:after="0" w:line="240" w:lineRule="auto"/>
      </w:pPr>
      <w:r>
        <w:continuationSeparator/>
      </w:r>
    </w:p>
  </w:footnote>
  <w:footnote w:id="1">
    <w:p w14:paraId="685E238D" w14:textId="3AD1675F" w:rsidR="00C57525" w:rsidRDefault="00C57525">
      <w:pPr>
        <w:pStyle w:val="Notedebasdepage"/>
      </w:pPr>
      <w:r>
        <w:rPr>
          <w:rStyle w:val="Appelnotedebasdep"/>
        </w:rPr>
        <w:footnoteRef/>
      </w:r>
      <w:r>
        <w:t xml:space="preserve"> </w:t>
      </w:r>
      <w:r w:rsidRPr="00C57525">
        <w:t>https://gnchr.fr/wp-content/uploads/sites/17/2025/09/GNCHR_COP-bonnes-pratiques-et-pistes-de-structuration_VF.pdf</w:t>
      </w:r>
    </w:p>
  </w:footnote>
  <w:footnote w:id="2">
    <w:p w14:paraId="1A756E1F" w14:textId="7B7A9D32" w:rsidR="00C57525" w:rsidRPr="00C57525" w:rsidRDefault="00C57525" w:rsidP="00C57525">
      <w:pPr>
        <w:pStyle w:val="Notedebasdepage"/>
      </w:pPr>
      <w:r>
        <w:rPr>
          <w:rStyle w:val="Appelnotedebasdep"/>
        </w:rPr>
        <w:footnoteRef/>
      </w:r>
      <w:r>
        <w:t xml:space="preserve"> </w:t>
      </w:r>
      <w:r w:rsidRPr="00C57525">
        <w:t xml:space="preserve">Vu les </w:t>
      </w:r>
      <w:hyperlink r:id="rId1" w:history="1">
        <w:r w:rsidRPr="00C57525">
          <w:rPr>
            <w:rStyle w:val="Lienhypertexte"/>
          </w:rPr>
          <w:t xml:space="preserve">articles L. 312-5 </w:t>
        </w:r>
      </w:hyperlink>
      <w:r w:rsidRPr="00C57525">
        <w:t>et</w:t>
      </w:r>
      <w:hyperlink r:id="rId2" w:history="1">
        <w:r w:rsidRPr="00C57525">
          <w:rPr>
            <w:rStyle w:val="Lienhypertexte"/>
          </w:rPr>
          <w:t xml:space="preserve"> D.312-193 </w:t>
        </w:r>
      </w:hyperlink>
      <w:r w:rsidRPr="00C57525">
        <w:t xml:space="preserve">du code de l’action sociale et des familles (CASF) qui prévoient un schéma national d’organisation sociale et médico-sociale pour les handicaps rares dont la définition est apportée par l’article </w:t>
      </w:r>
      <w:hyperlink r:id="rId3" w:history="1">
        <w:r w:rsidRPr="00C57525">
          <w:rPr>
            <w:rStyle w:val="Lienhypertexte"/>
          </w:rPr>
          <w:t>D312-194</w:t>
        </w:r>
      </w:hyperlink>
      <w:r>
        <w:t>.</w:t>
      </w:r>
    </w:p>
    <w:p w14:paraId="1522AE72" w14:textId="260E502A" w:rsidR="00C57525" w:rsidRDefault="00C57525">
      <w:pPr>
        <w:pStyle w:val="Notedebasdepage"/>
      </w:pPr>
    </w:p>
  </w:footnote>
  <w:footnote w:id="3">
    <w:p w14:paraId="09C2A935" w14:textId="230846F7" w:rsidR="004A66E8" w:rsidRDefault="004A66E8">
      <w:pPr>
        <w:pStyle w:val="Notedebasdepage"/>
      </w:pPr>
      <w:r>
        <w:rPr>
          <w:rStyle w:val="Appelnotedebasdep"/>
        </w:rPr>
        <w:footnoteRef/>
      </w:r>
      <w:r>
        <w:t xml:space="preserve"> RBPP HAS – 2016 </w:t>
      </w:r>
      <w:r w:rsidRPr="004A66E8">
        <w:t>https://www.has-sante.fr/jcms/c_2834964/fr/les-comportements-problemes-au-sein-des-etablissements-et-services-accueillant-des-enfants-et-adultes-handicapes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856B7"/>
    <w:multiLevelType w:val="multilevel"/>
    <w:tmpl w:val="E76E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92E14"/>
    <w:multiLevelType w:val="multilevel"/>
    <w:tmpl w:val="D7EA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C3E03"/>
    <w:multiLevelType w:val="multilevel"/>
    <w:tmpl w:val="69E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73FFB"/>
    <w:multiLevelType w:val="multilevel"/>
    <w:tmpl w:val="7630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B7125"/>
    <w:multiLevelType w:val="multilevel"/>
    <w:tmpl w:val="D1E6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35E4D"/>
    <w:multiLevelType w:val="multilevel"/>
    <w:tmpl w:val="F084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42809"/>
    <w:multiLevelType w:val="multilevel"/>
    <w:tmpl w:val="4A96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51780"/>
    <w:multiLevelType w:val="multilevel"/>
    <w:tmpl w:val="8598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093756">
    <w:abstractNumId w:val="7"/>
  </w:num>
  <w:num w:numId="2" w16cid:durableId="1048795589">
    <w:abstractNumId w:val="2"/>
  </w:num>
  <w:num w:numId="3" w16cid:durableId="25914516">
    <w:abstractNumId w:val="1"/>
  </w:num>
  <w:num w:numId="4" w16cid:durableId="1398016027">
    <w:abstractNumId w:val="3"/>
  </w:num>
  <w:num w:numId="5" w16cid:durableId="500238953">
    <w:abstractNumId w:val="6"/>
  </w:num>
  <w:num w:numId="6" w16cid:durableId="2018657973">
    <w:abstractNumId w:val="0"/>
  </w:num>
  <w:num w:numId="7" w16cid:durableId="1972512555">
    <w:abstractNumId w:val="4"/>
  </w:num>
  <w:num w:numId="8" w16cid:durableId="304967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58"/>
    <w:rsid w:val="00063D41"/>
    <w:rsid w:val="000F7A58"/>
    <w:rsid w:val="001065AD"/>
    <w:rsid w:val="001231B7"/>
    <w:rsid w:val="00147FE9"/>
    <w:rsid w:val="00195432"/>
    <w:rsid w:val="00212D4C"/>
    <w:rsid w:val="00214B52"/>
    <w:rsid w:val="00222953"/>
    <w:rsid w:val="0024346B"/>
    <w:rsid w:val="002764E0"/>
    <w:rsid w:val="002C773D"/>
    <w:rsid w:val="002D5C62"/>
    <w:rsid w:val="002E318E"/>
    <w:rsid w:val="00373932"/>
    <w:rsid w:val="00382A17"/>
    <w:rsid w:val="003966DD"/>
    <w:rsid w:val="00396E0D"/>
    <w:rsid w:val="0040190C"/>
    <w:rsid w:val="00426FC4"/>
    <w:rsid w:val="00465EFC"/>
    <w:rsid w:val="004A66E8"/>
    <w:rsid w:val="004C1FA0"/>
    <w:rsid w:val="004C7EAC"/>
    <w:rsid w:val="00553894"/>
    <w:rsid w:val="0060134F"/>
    <w:rsid w:val="006468DA"/>
    <w:rsid w:val="00655D4D"/>
    <w:rsid w:val="007E4D75"/>
    <w:rsid w:val="008140D3"/>
    <w:rsid w:val="00860D30"/>
    <w:rsid w:val="00884ECC"/>
    <w:rsid w:val="009657CA"/>
    <w:rsid w:val="00A45D47"/>
    <w:rsid w:val="00A70D8B"/>
    <w:rsid w:val="00AC0433"/>
    <w:rsid w:val="00B82732"/>
    <w:rsid w:val="00B82940"/>
    <w:rsid w:val="00BA0472"/>
    <w:rsid w:val="00BB2BB6"/>
    <w:rsid w:val="00BB56B1"/>
    <w:rsid w:val="00C57525"/>
    <w:rsid w:val="00C57811"/>
    <w:rsid w:val="00CA4B24"/>
    <w:rsid w:val="00CF55D3"/>
    <w:rsid w:val="00D710EA"/>
    <w:rsid w:val="00DC5C82"/>
    <w:rsid w:val="00E04E90"/>
    <w:rsid w:val="00E12AD8"/>
    <w:rsid w:val="00E23934"/>
    <w:rsid w:val="00E67775"/>
    <w:rsid w:val="00EA4A87"/>
    <w:rsid w:val="00ED1173"/>
    <w:rsid w:val="00EF4EFA"/>
    <w:rsid w:val="00F7650E"/>
    <w:rsid w:val="00FA5C33"/>
    <w:rsid w:val="00FB2E30"/>
    <w:rsid w:val="00FF7C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24D4"/>
  <w15:chartTrackingRefBased/>
  <w15:docId w15:val="{BD210349-67C1-42F9-A908-EFF51E6C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7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F7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F7A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7A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7A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7A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7A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7A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7A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7A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0F7A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0F7A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7A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7A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7A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7A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7A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7A58"/>
    <w:rPr>
      <w:rFonts w:eastAsiaTheme="majorEastAsia" w:cstheme="majorBidi"/>
      <w:color w:val="272727" w:themeColor="text1" w:themeTint="D8"/>
    </w:rPr>
  </w:style>
  <w:style w:type="paragraph" w:styleId="Titre">
    <w:name w:val="Title"/>
    <w:basedOn w:val="Normal"/>
    <w:next w:val="Normal"/>
    <w:link w:val="TitreCar"/>
    <w:uiPriority w:val="10"/>
    <w:qFormat/>
    <w:rsid w:val="000F7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7A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7A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7A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7A58"/>
    <w:pPr>
      <w:spacing w:before="160"/>
      <w:jc w:val="center"/>
    </w:pPr>
    <w:rPr>
      <w:i/>
      <w:iCs/>
      <w:color w:val="404040" w:themeColor="text1" w:themeTint="BF"/>
    </w:rPr>
  </w:style>
  <w:style w:type="character" w:customStyle="1" w:styleId="CitationCar">
    <w:name w:val="Citation Car"/>
    <w:basedOn w:val="Policepardfaut"/>
    <w:link w:val="Citation"/>
    <w:uiPriority w:val="29"/>
    <w:rsid w:val="000F7A58"/>
    <w:rPr>
      <w:i/>
      <w:iCs/>
      <w:color w:val="404040" w:themeColor="text1" w:themeTint="BF"/>
    </w:rPr>
  </w:style>
  <w:style w:type="paragraph" w:styleId="Paragraphedeliste">
    <w:name w:val="List Paragraph"/>
    <w:basedOn w:val="Normal"/>
    <w:uiPriority w:val="34"/>
    <w:qFormat/>
    <w:rsid w:val="000F7A58"/>
    <w:pPr>
      <w:ind w:left="720"/>
      <w:contextualSpacing/>
    </w:pPr>
  </w:style>
  <w:style w:type="character" w:styleId="Accentuationintense">
    <w:name w:val="Intense Emphasis"/>
    <w:basedOn w:val="Policepardfaut"/>
    <w:uiPriority w:val="21"/>
    <w:qFormat/>
    <w:rsid w:val="000F7A58"/>
    <w:rPr>
      <w:i/>
      <w:iCs/>
      <w:color w:val="0F4761" w:themeColor="accent1" w:themeShade="BF"/>
    </w:rPr>
  </w:style>
  <w:style w:type="paragraph" w:styleId="Citationintense">
    <w:name w:val="Intense Quote"/>
    <w:basedOn w:val="Normal"/>
    <w:next w:val="Normal"/>
    <w:link w:val="CitationintenseCar"/>
    <w:uiPriority w:val="30"/>
    <w:qFormat/>
    <w:rsid w:val="000F7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7A58"/>
    <w:rPr>
      <w:i/>
      <w:iCs/>
      <w:color w:val="0F4761" w:themeColor="accent1" w:themeShade="BF"/>
    </w:rPr>
  </w:style>
  <w:style w:type="character" w:styleId="Rfrenceintense">
    <w:name w:val="Intense Reference"/>
    <w:basedOn w:val="Policepardfaut"/>
    <w:uiPriority w:val="32"/>
    <w:qFormat/>
    <w:rsid w:val="000F7A58"/>
    <w:rPr>
      <w:b/>
      <w:bCs/>
      <w:smallCaps/>
      <w:color w:val="0F4761" w:themeColor="accent1" w:themeShade="BF"/>
      <w:spacing w:val="5"/>
    </w:rPr>
  </w:style>
  <w:style w:type="character" w:styleId="Lienhypertexte">
    <w:name w:val="Hyperlink"/>
    <w:basedOn w:val="Policepardfaut"/>
    <w:uiPriority w:val="99"/>
    <w:unhideWhenUsed/>
    <w:rsid w:val="00396E0D"/>
    <w:rPr>
      <w:color w:val="467886" w:themeColor="hyperlink"/>
      <w:u w:val="single"/>
    </w:rPr>
  </w:style>
  <w:style w:type="character" w:styleId="Mentionnonrsolue">
    <w:name w:val="Unresolved Mention"/>
    <w:basedOn w:val="Policepardfaut"/>
    <w:uiPriority w:val="99"/>
    <w:semiHidden/>
    <w:unhideWhenUsed/>
    <w:rsid w:val="00396E0D"/>
    <w:rPr>
      <w:color w:val="605E5C"/>
      <w:shd w:val="clear" w:color="auto" w:fill="E1DFDD"/>
    </w:rPr>
  </w:style>
  <w:style w:type="paragraph" w:styleId="Notedebasdepage">
    <w:name w:val="footnote text"/>
    <w:basedOn w:val="Normal"/>
    <w:link w:val="NotedebasdepageCar"/>
    <w:uiPriority w:val="99"/>
    <w:semiHidden/>
    <w:unhideWhenUsed/>
    <w:rsid w:val="00C5752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7525"/>
    <w:rPr>
      <w:sz w:val="20"/>
      <w:szCs w:val="20"/>
    </w:rPr>
  </w:style>
  <w:style w:type="character" w:styleId="Appelnotedebasdep">
    <w:name w:val="footnote reference"/>
    <w:basedOn w:val="Policepardfaut"/>
    <w:uiPriority w:val="99"/>
    <w:semiHidden/>
    <w:unhideWhenUsed/>
    <w:rsid w:val="00C57525"/>
    <w:rPr>
      <w:vertAlign w:val="superscript"/>
    </w:rPr>
  </w:style>
  <w:style w:type="paragraph" w:styleId="NormalWeb">
    <w:name w:val="Normal (Web)"/>
    <w:basedOn w:val="Normal"/>
    <w:uiPriority w:val="99"/>
    <w:semiHidden/>
    <w:unhideWhenUsed/>
    <w:rsid w:val="00C5752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1231B7"/>
    <w:pPr>
      <w:tabs>
        <w:tab w:val="center" w:pos="4536"/>
        <w:tab w:val="right" w:pos="9072"/>
      </w:tabs>
      <w:spacing w:after="0" w:line="240" w:lineRule="auto"/>
    </w:pPr>
  </w:style>
  <w:style w:type="character" w:customStyle="1" w:styleId="En-tteCar">
    <w:name w:val="En-tête Car"/>
    <w:basedOn w:val="Policepardfaut"/>
    <w:link w:val="En-tte"/>
    <w:uiPriority w:val="99"/>
    <w:rsid w:val="001231B7"/>
  </w:style>
  <w:style w:type="paragraph" w:styleId="Pieddepage">
    <w:name w:val="footer"/>
    <w:basedOn w:val="Normal"/>
    <w:link w:val="PieddepageCar"/>
    <w:uiPriority w:val="99"/>
    <w:unhideWhenUsed/>
    <w:rsid w:val="001231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3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nchr.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ntact@gnchr.fr" TargetMode="External"/><Relationship Id="rId1" Type="http://schemas.openxmlformats.org/officeDocument/2006/relationships/hyperlink" Target="http://www.gnchr.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codes/article_lc/LEGIARTI000006906595" TargetMode="External"/><Relationship Id="rId2" Type="http://schemas.openxmlformats.org/officeDocument/2006/relationships/hyperlink" Target="https://www.legifrance.gouv.fr/codes/article_lc/LEGIARTI000006906594" TargetMode="External"/><Relationship Id="rId1" Type="http://schemas.openxmlformats.org/officeDocument/2006/relationships/hyperlink" Target="https://www.legifrance.gouv.fr/codes/article_lc/LEGIARTI00004513670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1D225-B3D7-4D46-AE4A-FB7D2F5C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6949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Gwénaëlle Sébilo</dc:creator>
  <cp:keywords/>
  <dc:description/>
  <cp:lastModifiedBy>Gwénaëlle Sébilo</cp:lastModifiedBy>
  <cp:revision>46</cp:revision>
  <dcterms:created xsi:type="dcterms:W3CDTF">2026-04-17T12:32:00Z</dcterms:created>
  <dcterms:modified xsi:type="dcterms:W3CDTF">2026-04-28T13:20:00Z</dcterms:modified>
</cp:coreProperties>
</file>