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E4DF7" w14:textId="2FE26C30" w:rsidR="00A83774" w:rsidRDefault="00A83774" w:rsidP="008F0095">
      <w:pPr>
        <w:spacing w:before="360" w:after="360"/>
        <w:jc w:val="center"/>
        <w:rPr>
          <w:rFonts w:ascii="Calibri" w:hAnsi="Calibri"/>
          <w:b/>
          <w:sz w:val="32"/>
          <w:lang w:val="fr-FR"/>
        </w:rPr>
      </w:pPr>
      <w:r w:rsidRPr="00A0225A">
        <w:rPr>
          <w:rFonts w:ascii="Calibri" w:hAnsi="Calibri"/>
          <w:b/>
          <w:sz w:val="32"/>
          <w:lang w:val="fr-FR"/>
        </w:rPr>
        <w:t>Manifeste de l'Union européenne des sourdaveugles (</w:t>
      </w:r>
      <w:proofErr w:type="spellStart"/>
      <w:r w:rsidRPr="00A0225A">
        <w:rPr>
          <w:rFonts w:ascii="Calibri" w:hAnsi="Calibri"/>
          <w:b/>
          <w:sz w:val="32"/>
          <w:lang w:val="fr-FR"/>
        </w:rPr>
        <w:t>EDbU</w:t>
      </w:r>
      <w:proofErr w:type="spellEnd"/>
      <w:r w:rsidRPr="00A0225A">
        <w:rPr>
          <w:rFonts w:ascii="Calibri" w:hAnsi="Calibri"/>
          <w:b/>
          <w:sz w:val="32"/>
          <w:lang w:val="fr-FR"/>
        </w:rPr>
        <w:t>)</w:t>
      </w:r>
      <w:r w:rsidR="008F0095">
        <w:rPr>
          <w:rFonts w:ascii="Calibri" w:hAnsi="Calibri"/>
          <w:b/>
          <w:sz w:val="32"/>
          <w:lang w:val="fr-FR"/>
        </w:rPr>
        <w:t xml:space="preserve"> </w:t>
      </w:r>
      <w:r w:rsidRPr="00A0225A">
        <w:rPr>
          <w:rFonts w:ascii="Calibri" w:hAnsi="Calibri"/>
          <w:b/>
          <w:sz w:val="32"/>
          <w:lang w:val="fr-FR"/>
        </w:rPr>
        <w:t>à l'occasion de la Journée européenne des personnes sourdaveugles, le 22 octobre 2024</w:t>
      </w:r>
    </w:p>
    <w:p w14:paraId="3FB85528" w14:textId="77777777" w:rsidR="008F0095" w:rsidRPr="00A0225A" w:rsidRDefault="008F0095" w:rsidP="008F0095">
      <w:pPr>
        <w:jc w:val="center"/>
        <w:rPr>
          <w:rFonts w:ascii="Calibri" w:hAnsi="Calibri"/>
          <w:b/>
          <w:sz w:val="32"/>
          <w:lang w:val="fr-FR"/>
        </w:rPr>
      </w:pPr>
    </w:p>
    <w:p w14:paraId="247AB8B6" w14:textId="15FCEC31" w:rsidR="00802F30" w:rsidRPr="00A0225A" w:rsidRDefault="00A83774" w:rsidP="00724BED">
      <w:pPr>
        <w:jc w:val="both"/>
        <w:rPr>
          <w:rFonts w:ascii="Calibri" w:hAnsi="Calibri"/>
          <w:lang w:val="fr-FR"/>
        </w:rPr>
      </w:pPr>
      <w:r w:rsidRPr="00A0225A">
        <w:rPr>
          <w:rFonts w:ascii="Calibri" w:hAnsi="Calibri"/>
          <w:lang w:val="fr-FR"/>
        </w:rPr>
        <w:t xml:space="preserve">L'Union européenne des </w:t>
      </w:r>
      <w:r w:rsidR="00A0225A">
        <w:rPr>
          <w:rFonts w:ascii="Calibri" w:hAnsi="Calibri"/>
          <w:lang w:val="fr-FR"/>
        </w:rPr>
        <w:t>sourdaveugles</w:t>
      </w:r>
      <w:r w:rsidRPr="00A0225A">
        <w:rPr>
          <w:rFonts w:ascii="Calibri" w:hAnsi="Calibri"/>
          <w:lang w:val="fr-FR"/>
        </w:rPr>
        <w:t xml:space="preserve"> (EDbU) est une organisation dont l'objectif principal est de protéger les droits et les intérêts légitimes des personnes sourdaveugles ! </w:t>
      </w:r>
    </w:p>
    <w:p w14:paraId="57447D93" w14:textId="1EA5B13B" w:rsidR="00A83774" w:rsidRPr="00A0225A" w:rsidRDefault="00A83774" w:rsidP="00724BED">
      <w:pPr>
        <w:jc w:val="both"/>
        <w:rPr>
          <w:rFonts w:ascii="Calibri" w:hAnsi="Calibri"/>
          <w:lang w:val="fr-FR"/>
        </w:rPr>
      </w:pPr>
      <w:r w:rsidRPr="00A0225A">
        <w:rPr>
          <w:rFonts w:ascii="Calibri" w:hAnsi="Calibri"/>
          <w:lang w:val="fr-FR"/>
        </w:rPr>
        <w:t>Aujourd'hui, 22 octobre 2024, Journée européenne des personnes sourdaveugles, nous appelons à des actions immédiates et concrètes !</w:t>
      </w:r>
    </w:p>
    <w:p w14:paraId="79924824" w14:textId="77777777" w:rsidR="00A83774" w:rsidRPr="00A0225A" w:rsidRDefault="00A83774" w:rsidP="00A83774">
      <w:pPr>
        <w:jc w:val="both"/>
        <w:rPr>
          <w:rFonts w:ascii="Calibri" w:hAnsi="Calibri"/>
          <w:lang w:val="fr-FR"/>
        </w:rPr>
      </w:pPr>
      <w:r w:rsidRPr="00A0225A">
        <w:rPr>
          <w:rFonts w:ascii="Calibri" w:hAnsi="Calibri"/>
          <w:lang w:val="fr-FR"/>
        </w:rPr>
        <w:t>Nous nous unissons d'une seule voix, demandant de la visibilité et de la reconnaissance !</w:t>
      </w:r>
    </w:p>
    <w:p w14:paraId="7BE681D0" w14:textId="77777777" w:rsidR="00A83774" w:rsidRPr="00A0225A" w:rsidRDefault="00A83774" w:rsidP="00A83774">
      <w:pPr>
        <w:jc w:val="both"/>
        <w:rPr>
          <w:rFonts w:ascii="Calibri" w:hAnsi="Calibri"/>
          <w:lang w:val="fr-FR"/>
        </w:rPr>
      </w:pPr>
      <w:r w:rsidRPr="00A0225A">
        <w:rPr>
          <w:rFonts w:ascii="Calibri" w:hAnsi="Calibri"/>
          <w:lang w:val="fr-FR"/>
        </w:rPr>
        <w:t>Nous voulons l'égalité et une vie sans obstacles ni barrières !</w:t>
      </w:r>
    </w:p>
    <w:p w14:paraId="550F08C4" w14:textId="78799530" w:rsidR="00A83774" w:rsidRPr="00A0225A" w:rsidRDefault="00A83774" w:rsidP="00A83774">
      <w:pPr>
        <w:jc w:val="both"/>
        <w:rPr>
          <w:rFonts w:ascii="Calibri" w:hAnsi="Calibri"/>
          <w:lang w:val="fr-FR"/>
        </w:rPr>
      </w:pPr>
      <w:r w:rsidRPr="00A0225A">
        <w:rPr>
          <w:rFonts w:ascii="Calibri" w:hAnsi="Calibri"/>
          <w:lang w:val="fr-FR"/>
        </w:rPr>
        <w:t>La surdicécité est un handicap unique qui touche des millions de personnes en Europe qui revendiquent leur droit à une vie digne !</w:t>
      </w:r>
    </w:p>
    <w:p w14:paraId="3CD018F3" w14:textId="77777777" w:rsidR="00A83774" w:rsidRPr="00A0225A" w:rsidRDefault="00A83774" w:rsidP="00802F30">
      <w:pPr>
        <w:spacing w:before="360" w:after="240"/>
        <w:jc w:val="both"/>
        <w:rPr>
          <w:rFonts w:ascii="Calibri" w:hAnsi="Calibri"/>
          <w:b/>
          <w:lang w:val="fr-FR"/>
        </w:rPr>
      </w:pPr>
      <w:r w:rsidRPr="00A0225A">
        <w:rPr>
          <w:rFonts w:ascii="Calibri" w:hAnsi="Calibri"/>
          <w:b/>
          <w:lang w:val="fr-FR"/>
        </w:rPr>
        <w:t>1. Visibilité et reconnaissance juridique</w:t>
      </w:r>
    </w:p>
    <w:p w14:paraId="165A02A3" w14:textId="0A45FF6A" w:rsidR="00A83774" w:rsidRPr="00A0225A" w:rsidRDefault="00A83774" w:rsidP="00A83774">
      <w:pPr>
        <w:jc w:val="both"/>
        <w:rPr>
          <w:rFonts w:ascii="Calibri" w:hAnsi="Calibri"/>
          <w:lang w:val="fr-FR"/>
        </w:rPr>
      </w:pPr>
      <w:r w:rsidRPr="00A0225A">
        <w:rPr>
          <w:rFonts w:ascii="Calibri" w:hAnsi="Calibri"/>
          <w:lang w:val="fr-FR"/>
        </w:rPr>
        <w:t>Nous exigeons la reconnaissance immédiate de la surdicécité en tant que handicap unique, comme annoncé dans la déclaration écrite 1/2004 du Parlement européen. Les personnes sourdaveugles sont confrontées à des difficultés extrêmes en matière de perception globale, de communication, de mobilité, d'accès à l'éducation et à l'information. De nombreux pays européens n'ont pas encore pris de mesures substantielles pour minimiser les obstacles et les barrières dans notre vie quotidienne, ce qui est inacceptable et ne peut être retardé.</w:t>
      </w:r>
    </w:p>
    <w:p w14:paraId="1623F152" w14:textId="77777777" w:rsidR="00A83774" w:rsidRPr="00A0225A" w:rsidRDefault="00A83774" w:rsidP="00A83774">
      <w:pPr>
        <w:jc w:val="both"/>
        <w:rPr>
          <w:rFonts w:ascii="Calibri" w:hAnsi="Calibri"/>
          <w:lang w:val="fr-FR"/>
        </w:rPr>
      </w:pPr>
      <w:r w:rsidRPr="00A0225A">
        <w:rPr>
          <w:rFonts w:ascii="Calibri" w:hAnsi="Calibri"/>
          <w:lang w:val="fr-FR"/>
        </w:rPr>
        <w:t>Nous appelons toutes les institutions européennes et nationales à prendre des mesures urgentes pour notre visibilité et notre reconnaissance juridique !</w:t>
      </w:r>
    </w:p>
    <w:p w14:paraId="7BEDA2EA" w14:textId="67EAC873" w:rsidR="00A83774" w:rsidRPr="00A0225A" w:rsidRDefault="00A83774" w:rsidP="00802F30">
      <w:pPr>
        <w:spacing w:before="360" w:after="240"/>
        <w:jc w:val="both"/>
        <w:rPr>
          <w:rFonts w:ascii="Calibri" w:hAnsi="Calibri"/>
          <w:b/>
          <w:lang w:val="fr-FR"/>
        </w:rPr>
      </w:pPr>
      <w:r w:rsidRPr="00A0225A">
        <w:rPr>
          <w:rFonts w:ascii="Calibri" w:hAnsi="Calibri"/>
          <w:b/>
          <w:lang w:val="fr-FR"/>
        </w:rPr>
        <w:t>2. Résolution d'urgence sur les interprètes et intervenants professionnels pour les personnes sourdaveugles et l'égalité d'accès à la communication et à l'information pour les personnes atteintes de surdicécité en Europe</w:t>
      </w:r>
    </w:p>
    <w:p w14:paraId="668FD9D3" w14:textId="6F93BC46" w:rsidR="00A83774" w:rsidRPr="00A0225A" w:rsidRDefault="00A83774" w:rsidP="00A83774">
      <w:pPr>
        <w:jc w:val="both"/>
        <w:rPr>
          <w:rFonts w:ascii="Calibri" w:hAnsi="Calibri"/>
          <w:lang w:val="fr-FR"/>
        </w:rPr>
      </w:pPr>
      <w:r w:rsidRPr="00A0225A">
        <w:rPr>
          <w:rFonts w:ascii="Calibri" w:hAnsi="Calibri"/>
          <w:lang w:val="fr-FR"/>
        </w:rPr>
        <w:t>Nous exhortons le Parlement européen à approuver et à adopter d'urgence une résolution issue de la conférence « Seuls nous pouvons faire si peu, ensemble nous pouvons faire tant » qui s'est tenue au Parlement européen en 2018, qui garantit l'accès à des interprètes et intervenants professionnels sour</w:t>
      </w:r>
      <w:r w:rsidR="00A0225A">
        <w:rPr>
          <w:rFonts w:ascii="Calibri" w:hAnsi="Calibri"/>
          <w:lang w:val="fr-FR"/>
        </w:rPr>
        <w:t>d</w:t>
      </w:r>
      <w:r w:rsidRPr="00A0225A">
        <w:rPr>
          <w:rFonts w:ascii="Calibri" w:hAnsi="Calibri"/>
          <w:lang w:val="fr-FR"/>
        </w:rPr>
        <w:t>aveugles.</w:t>
      </w:r>
    </w:p>
    <w:p w14:paraId="37A4665E" w14:textId="03D4ECFD" w:rsidR="00A83774" w:rsidRPr="00A0225A" w:rsidRDefault="00A83774" w:rsidP="00A83774">
      <w:pPr>
        <w:jc w:val="both"/>
        <w:rPr>
          <w:rFonts w:ascii="Calibri" w:hAnsi="Calibri"/>
          <w:lang w:val="fr-FR"/>
        </w:rPr>
      </w:pPr>
      <w:r w:rsidRPr="00A0225A">
        <w:rPr>
          <w:rFonts w:ascii="Calibri" w:hAnsi="Calibri"/>
          <w:lang w:val="fr-FR"/>
        </w:rPr>
        <w:t>Nous demandons un soutien pour assurer la pleine participation des personnes sourdaveugles à la société en tant que citoyens dignes.</w:t>
      </w:r>
    </w:p>
    <w:p w14:paraId="38F80183" w14:textId="77777777" w:rsidR="00A83774" w:rsidRPr="00A0225A" w:rsidRDefault="00A83774" w:rsidP="005C4917">
      <w:pPr>
        <w:spacing w:before="360" w:after="240"/>
        <w:jc w:val="both"/>
        <w:rPr>
          <w:rFonts w:ascii="Calibri" w:hAnsi="Calibri"/>
          <w:b/>
          <w:lang w:val="fr-FR"/>
        </w:rPr>
      </w:pPr>
      <w:r w:rsidRPr="00A0225A">
        <w:rPr>
          <w:rFonts w:ascii="Calibri" w:hAnsi="Calibri"/>
          <w:b/>
          <w:lang w:val="fr-FR"/>
        </w:rPr>
        <w:t>3. Reconnaissance des langues des signes</w:t>
      </w:r>
    </w:p>
    <w:p w14:paraId="1D5EBE82" w14:textId="1A97C0B9" w:rsidR="00A83774" w:rsidRPr="00A0225A" w:rsidRDefault="00A83774" w:rsidP="00A83774">
      <w:pPr>
        <w:jc w:val="both"/>
        <w:rPr>
          <w:rFonts w:ascii="Calibri" w:hAnsi="Calibri"/>
          <w:lang w:val="fr-FR"/>
        </w:rPr>
      </w:pPr>
      <w:r w:rsidRPr="00A0225A">
        <w:rPr>
          <w:rFonts w:ascii="Calibri" w:hAnsi="Calibri"/>
          <w:lang w:val="fr-FR"/>
        </w:rPr>
        <w:t xml:space="preserve">Nous exigeons la reconnaissance officielle des langues des signes en tant que langues nationales dans toute l'Europe, ainsi que la reconnaissance des personnes sourdaveugles en </w:t>
      </w:r>
      <w:r w:rsidRPr="00A0225A">
        <w:rPr>
          <w:rFonts w:ascii="Calibri" w:hAnsi="Calibri"/>
          <w:lang w:val="fr-FR"/>
        </w:rPr>
        <w:lastRenderedPageBreak/>
        <w:t>tant qu'utilisateurs de ces langues. La langue des signes est essentielle à notre communication et notre droit de l'utiliser doit être respecté dans tous les domaines de la vie publique.</w:t>
      </w:r>
    </w:p>
    <w:p w14:paraId="56BF3261" w14:textId="77777777" w:rsidR="00A83774" w:rsidRPr="00A0225A" w:rsidRDefault="00A83774" w:rsidP="00CE510E">
      <w:pPr>
        <w:spacing w:before="360" w:after="240"/>
        <w:jc w:val="both"/>
        <w:rPr>
          <w:rFonts w:ascii="Calibri" w:hAnsi="Calibri"/>
          <w:b/>
          <w:lang w:val="fr-FR"/>
        </w:rPr>
      </w:pPr>
      <w:r w:rsidRPr="00A0225A">
        <w:rPr>
          <w:rFonts w:ascii="Calibri" w:hAnsi="Calibri"/>
          <w:b/>
          <w:lang w:val="fr-FR"/>
        </w:rPr>
        <w:t>4. Promotion, étude et pratique des méthodes et systèmes de communication</w:t>
      </w:r>
    </w:p>
    <w:p w14:paraId="7FFC9311" w14:textId="26C80C5B" w:rsidR="00A83774" w:rsidRPr="00A0225A" w:rsidRDefault="00A83774" w:rsidP="00A83774">
      <w:pPr>
        <w:jc w:val="both"/>
        <w:rPr>
          <w:rFonts w:ascii="Calibri" w:hAnsi="Calibri"/>
          <w:lang w:val="fr-FR"/>
        </w:rPr>
      </w:pPr>
      <w:r w:rsidRPr="00A0225A">
        <w:rPr>
          <w:rFonts w:ascii="Calibri" w:hAnsi="Calibri"/>
          <w:lang w:val="fr-FR"/>
        </w:rPr>
        <w:t>Nous préconisons l'étude, la promotion et la mise en œuvre des différentes méthodes et systèmes de communication pour les personnes sourdaveugles, en assurant leur diffusion et leur utilisation par les personnes sourdaveugles.</w:t>
      </w:r>
    </w:p>
    <w:p w14:paraId="17A2FF98" w14:textId="515E1CBC" w:rsidR="00A83774" w:rsidRPr="00A0225A" w:rsidRDefault="00A83774" w:rsidP="00A83774">
      <w:pPr>
        <w:jc w:val="both"/>
        <w:rPr>
          <w:rFonts w:ascii="Calibri" w:hAnsi="Calibri"/>
          <w:lang w:val="fr-FR"/>
        </w:rPr>
      </w:pPr>
      <w:r w:rsidRPr="00A0225A">
        <w:rPr>
          <w:rFonts w:ascii="Calibri" w:hAnsi="Calibri"/>
          <w:lang w:val="fr-FR"/>
        </w:rPr>
        <w:t>Nous insistons sur la promotion et le soutien du système de communication haptique / socio-haptique / tactile, qui est essentiel pour de nombreuses personnes sourdaveugles dans la communication et l'interaction quotidiennes. La communication est un droit humain fondamental qui est réglementé par des lois internationales.</w:t>
      </w:r>
    </w:p>
    <w:p w14:paraId="63342CFA" w14:textId="77777777" w:rsidR="00A83774" w:rsidRPr="00A0225A" w:rsidRDefault="00A83774" w:rsidP="00A43992">
      <w:pPr>
        <w:spacing w:before="360" w:after="240"/>
        <w:jc w:val="both"/>
        <w:rPr>
          <w:rFonts w:ascii="Calibri" w:hAnsi="Calibri"/>
          <w:b/>
          <w:lang w:val="fr-FR"/>
        </w:rPr>
      </w:pPr>
      <w:r w:rsidRPr="00A0225A">
        <w:rPr>
          <w:rFonts w:ascii="Calibri" w:hAnsi="Calibri"/>
          <w:b/>
          <w:lang w:val="fr-FR"/>
        </w:rPr>
        <w:t>5. Vie autonome</w:t>
      </w:r>
    </w:p>
    <w:p w14:paraId="63AE6CF4" w14:textId="29AEFBB1" w:rsidR="00A83774" w:rsidRPr="00A0225A" w:rsidRDefault="00A83774" w:rsidP="00A83774">
      <w:pPr>
        <w:jc w:val="both"/>
        <w:rPr>
          <w:rFonts w:ascii="Calibri" w:hAnsi="Calibri"/>
          <w:lang w:val="fr-FR"/>
        </w:rPr>
      </w:pPr>
      <w:r w:rsidRPr="00A0225A">
        <w:rPr>
          <w:rFonts w:ascii="Calibri" w:hAnsi="Calibri"/>
          <w:lang w:val="fr-FR"/>
        </w:rPr>
        <w:t>Nous insistons pour un accès plus facile aux assistants personnels qui soutiennent les personnes sourdaveugles dans leurs activités quotidiennes, leurs loisirs, leurs voyages et leur mobilité.</w:t>
      </w:r>
    </w:p>
    <w:p w14:paraId="3596A954" w14:textId="77777777" w:rsidR="00A83774" w:rsidRPr="00A0225A" w:rsidRDefault="00A83774" w:rsidP="00A83774">
      <w:pPr>
        <w:jc w:val="both"/>
        <w:rPr>
          <w:rFonts w:ascii="Calibri" w:hAnsi="Calibri"/>
          <w:lang w:val="fr-FR"/>
        </w:rPr>
      </w:pPr>
      <w:r w:rsidRPr="00A0225A">
        <w:rPr>
          <w:rFonts w:ascii="Calibri" w:hAnsi="Calibri"/>
          <w:lang w:val="fr-FR"/>
        </w:rPr>
        <w:t>Nous insistons sur l'accès aux médias par le biais de technologies et de services modernes, ce qui est un droit humain fondamental garantissant une accessibilité universelle dans des conditions d'égalité.</w:t>
      </w:r>
    </w:p>
    <w:p w14:paraId="6FEAC970" w14:textId="77777777" w:rsidR="00A83774" w:rsidRPr="00A0225A" w:rsidRDefault="00A83774" w:rsidP="00996EEB">
      <w:pPr>
        <w:spacing w:before="360" w:after="240"/>
        <w:jc w:val="both"/>
        <w:rPr>
          <w:rFonts w:ascii="Calibri" w:hAnsi="Calibri"/>
          <w:b/>
          <w:lang w:val="fr-FR"/>
        </w:rPr>
      </w:pPr>
      <w:r w:rsidRPr="00A0225A">
        <w:rPr>
          <w:rFonts w:ascii="Calibri" w:hAnsi="Calibri"/>
          <w:b/>
          <w:lang w:val="fr-FR"/>
        </w:rPr>
        <w:t>6. L'exercice du droit civil de vote</w:t>
      </w:r>
    </w:p>
    <w:p w14:paraId="1D3ECA4C" w14:textId="77777777" w:rsidR="00A83774" w:rsidRPr="00A0225A" w:rsidRDefault="00A83774" w:rsidP="00A83774">
      <w:pPr>
        <w:jc w:val="both"/>
        <w:rPr>
          <w:rFonts w:ascii="Calibri" w:hAnsi="Calibri"/>
          <w:lang w:val="fr-FR"/>
        </w:rPr>
      </w:pPr>
      <w:r w:rsidRPr="00A0225A">
        <w:rPr>
          <w:rFonts w:ascii="Calibri" w:hAnsi="Calibri"/>
          <w:lang w:val="fr-FR"/>
        </w:rPr>
        <w:t>La participation civique est un pilier fondamental de la démocratie.</w:t>
      </w:r>
    </w:p>
    <w:p w14:paraId="0CE37BC9" w14:textId="6A24E276" w:rsidR="00A83774" w:rsidRPr="00A0225A" w:rsidRDefault="00A83774" w:rsidP="00A83774">
      <w:pPr>
        <w:jc w:val="both"/>
        <w:rPr>
          <w:rFonts w:ascii="Calibri" w:hAnsi="Calibri"/>
          <w:lang w:val="fr-FR"/>
        </w:rPr>
      </w:pPr>
      <w:r w:rsidRPr="00A0225A">
        <w:rPr>
          <w:rFonts w:ascii="Calibri" w:hAnsi="Calibri"/>
          <w:lang w:val="fr-FR"/>
        </w:rPr>
        <w:t>Nous, sourd</w:t>
      </w:r>
      <w:r w:rsidR="00A0225A">
        <w:rPr>
          <w:rFonts w:ascii="Calibri" w:hAnsi="Calibri"/>
          <w:lang w:val="fr-FR"/>
        </w:rPr>
        <w:t>a</w:t>
      </w:r>
      <w:r w:rsidRPr="00A0225A">
        <w:rPr>
          <w:rFonts w:ascii="Calibri" w:hAnsi="Calibri"/>
          <w:lang w:val="fr-FR"/>
        </w:rPr>
        <w:t>veugles, insistons sur des mesures urgentes pour garantir un professionnel qualifié et des conditions égales, lors de l'exercice du droit de vote, qui est un droit humain fondamental !</w:t>
      </w:r>
    </w:p>
    <w:p w14:paraId="0E108E03" w14:textId="7A6CAFE8" w:rsidR="00A83774" w:rsidRPr="00A0225A" w:rsidRDefault="00A83774" w:rsidP="00A83774">
      <w:pPr>
        <w:jc w:val="both"/>
        <w:rPr>
          <w:rFonts w:ascii="Calibri" w:hAnsi="Calibri"/>
          <w:lang w:val="fr-FR"/>
        </w:rPr>
      </w:pPr>
      <w:r w:rsidRPr="00A0225A">
        <w:rPr>
          <w:rFonts w:ascii="Calibri" w:hAnsi="Calibri"/>
          <w:lang w:val="fr-FR"/>
        </w:rPr>
        <w:t>Nous insistons sur la fourniture d'informations électorales accessibles et compréhensibles, en promouvant la participation digne et équitable des personnes sourdaveugles aux processus démocratiques.</w:t>
      </w:r>
    </w:p>
    <w:p w14:paraId="2C24C136" w14:textId="77777777" w:rsidR="00A83774" w:rsidRPr="00A0225A" w:rsidRDefault="00A83774" w:rsidP="00996EEB">
      <w:pPr>
        <w:spacing w:before="360" w:after="240"/>
        <w:jc w:val="both"/>
        <w:rPr>
          <w:rFonts w:ascii="Calibri" w:hAnsi="Calibri"/>
          <w:b/>
          <w:lang w:val="fr-FR"/>
        </w:rPr>
      </w:pPr>
      <w:r w:rsidRPr="00A0225A">
        <w:rPr>
          <w:rFonts w:ascii="Calibri" w:hAnsi="Calibri"/>
          <w:b/>
          <w:lang w:val="fr-FR"/>
        </w:rPr>
        <w:t>7. Droit à la décision</w:t>
      </w:r>
    </w:p>
    <w:p w14:paraId="19151055" w14:textId="77777777" w:rsidR="00A83774" w:rsidRPr="00A0225A" w:rsidRDefault="00A83774" w:rsidP="00A83774">
      <w:pPr>
        <w:jc w:val="both"/>
        <w:rPr>
          <w:rFonts w:ascii="Calibri" w:hAnsi="Calibri"/>
          <w:lang w:val="fr-FR"/>
        </w:rPr>
      </w:pPr>
      <w:r w:rsidRPr="00A0225A">
        <w:rPr>
          <w:rFonts w:ascii="Calibri" w:hAnsi="Calibri"/>
          <w:lang w:val="fr-FR"/>
        </w:rPr>
        <w:t>Nous insistons sur la liberté de décision, telle qu'elle est réglementée dans les actes juridiques internationaux : liberté et indépendance dans l'exercice du droit de décider sur un pied d'égalité avec le reste de la population.</w:t>
      </w:r>
    </w:p>
    <w:p w14:paraId="4898E6ED" w14:textId="798383D0" w:rsidR="009534B0" w:rsidRDefault="00A83774" w:rsidP="00A83774">
      <w:pPr>
        <w:jc w:val="both"/>
        <w:rPr>
          <w:rFonts w:ascii="Calibri" w:hAnsi="Calibri"/>
          <w:lang w:val="fr-FR"/>
        </w:rPr>
      </w:pPr>
      <w:r w:rsidRPr="00A0225A">
        <w:rPr>
          <w:rFonts w:ascii="Calibri" w:hAnsi="Calibri"/>
          <w:lang w:val="fr-FR"/>
        </w:rPr>
        <w:t>Nous insistons sur la fourniture de services d'interprétation de qualité et qualifiés pour les personnes sourdaveugles, ce qui est un segment de l'inclusion sociale et de la participation effective dans tous les aspects de la vie.</w:t>
      </w:r>
    </w:p>
    <w:p w14:paraId="1C74832B" w14:textId="77777777" w:rsidR="008F0095" w:rsidRDefault="008F0095" w:rsidP="00A83774">
      <w:pPr>
        <w:jc w:val="both"/>
        <w:rPr>
          <w:rFonts w:ascii="Calibri" w:hAnsi="Calibri"/>
          <w:lang w:val="fr-FR"/>
        </w:rPr>
      </w:pPr>
    </w:p>
    <w:p w14:paraId="64A31AFF" w14:textId="77777777" w:rsidR="008F0095" w:rsidRDefault="008F0095" w:rsidP="00A83774">
      <w:pPr>
        <w:jc w:val="both"/>
        <w:rPr>
          <w:rFonts w:ascii="Calibri" w:hAnsi="Calibri"/>
          <w:lang w:val="fr-FR"/>
        </w:rPr>
      </w:pPr>
    </w:p>
    <w:p w14:paraId="6AC53502" w14:textId="77777777" w:rsidR="008F0095" w:rsidRPr="00A0225A" w:rsidRDefault="008F0095" w:rsidP="00A83774">
      <w:pPr>
        <w:jc w:val="both"/>
        <w:rPr>
          <w:rFonts w:ascii="Calibri" w:hAnsi="Calibri"/>
          <w:lang w:val="fr-FR"/>
        </w:rPr>
      </w:pPr>
    </w:p>
    <w:p w14:paraId="6A349F00" w14:textId="45236FDD" w:rsidR="00A83774" w:rsidRDefault="00A83774" w:rsidP="00A0225A">
      <w:pPr>
        <w:rPr>
          <w:rFonts w:ascii="Calibri" w:hAnsi="Calibri"/>
          <w:b/>
          <w:lang w:val="fr-FR"/>
        </w:rPr>
      </w:pPr>
      <w:r w:rsidRPr="00A0225A">
        <w:rPr>
          <w:rFonts w:ascii="Calibri" w:hAnsi="Calibri"/>
          <w:b/>
          <w:lang w:val="fr-FR"/>
        </w:rPr>
        <w:lastRenderedPageBreak/>
        <w:t>8. Accès aux services et technologies individuels et personnels</w:t>
      </w:r>
    </w:p>
    <w:p w14:paraId="5E64AABB" w14:textId="77777777" w:rsidR="008F0095" w:rsidRPr="00A0225A" w:rsidRDefault="008F0095" w:rsidP="00A0225A">
      <w:pPr>
        <w:rPr>
          <w:rFonts w:ascii="Calibri" w:hAnsi="Calibri"/>
          <w:b/>
          <w:lang w:val="fr-FR"/>
        </w:rPr>
      </w:pPr>
    </w:p>
    <w:p w14:paraId="7FC4C0F3" w14:textId="4361C881" w:rsidR="00A83774" w:rsidRPr="00A0225A" w:rsidRDefault="00A83774" w:rsidP="00A83774">
      <w:pPr>
        <w:jc w:val="both"/>
        <w:rPr>
          <w:rFonts w:ascii="Calibri" w:hAnsi="Calibri"/>
          <w:lang w:val="fr-FR"/>
        </w:rPr>
      </w:pPr>
      <w:r w:rsidRPr="00A0225A">
        <w:rPr>
          <w:rFonts w:ascii="Calibri" w:hAnsi="Calibri"/>
          <w:lang w:val="fr-FR"/>
        </w:rPr>
        <w:t>Nous insistons pour répondre à nos besoins de communication en fournissant des interprètes professionnels pour les personnes sourdaveugles, une médiation en communication et un accès à la technologie.</w:t>
      </w:r>
    </w:p>
    <w:p w14:paraId="3A2B3771" w14:textId="177AAC44" w:rsidR="00A83774" w:rsidRPr="00A0225A" w:rsidRDefault="00A83774" w:rsidP="00A83774">
      <w:pPr>
        <w:jc w:val="both"/>
        <w:rPr>
          <w:rFonts w:ascii="Calibri" w:hAnsi="Calibri"/>
          <w:lang w:val="fr-FR"/>
        </w:rPr>
      </w:pPr>
      <w:r w:rsidRPr="00A0225A">
        <w:rPr>
          <w:rFonts w:ascii="Calibri" w:hAnsi="Calibri"/>
          <w:lang w:val="fr-FR"/>
        </w:rPr>
        <w:t xml:space="preserve">Nous insistons sur la participation à la recherche de nouvelles technologies pour le mouvement, la communication et l'information. Rien pour les </w:t>
      </w:r>
      <w:r w:rsidR="00A0225A">
        <w:rPr>
          <w:rFonts w:ascii="Calibri" w:hAnsi="Calibri"/>
          <w:lang w:val="fr-FR"/>
        </w:rPr>
        <w:t>sourdaveugles</w:t>
      </w:r>
      <w:r w:rsidRPr="00A0225A">
        <w:rPr>
          <w:rFonts w:ascii="Calibri" w:hAnsi="Calibri"/>
          <w:lang w:val="fr-FR"/>
        </w:rPr>
        <w:t xml:space="preserve">, sans les </w:t>
      </w:r>
      <w:r w:rsidR="00A0225A">
        <w:rPr>
          <w:rFonts w:ascii="Calibri" w:hAnsi="Calibri"/>
          <w:lang w:val="fr-FR"/>
        </w:rPr>
        <w:t>sourdaveugles</w:t>
      </w:r>
      <w:r w:rsidRPr="00A0225A">
        <w:rPr>
          <w:rFonts w:ascii="Calibri" w:hAnsi="Calibri"/>
          <w:lang w:val="fr-FR"/>
        </w:rPr>
        <w:t xml:space="preserve"> !</w:t>
      </w:r>
    </w:p>
    <w:p w14:paraId="26FACBFC" w14:textId="77777777" w:rsidR="00A83774" w:rsidRPr="00A0225A" w:rsidRDefault="00A83774" w:rsidP="00D825EF">
      <w:pPr>
        <w:spacing w:before="360" w:after="240"/>
        <w:jc w:val="both"/>
        <w:rPr>
          <w:rFonts w:ascii="Calibri" w:hAnsi="Calibri"/>
          <w:b/>
          <w:lang w:val="fr-FR"/>
        </w:rPr>
      </w:pPr>
      <w:r w:rsidRPr="00A0225A">
        <w:rPr>
          <w:rFonts w:ascii="Calibri" w:hAnsi="Calibri"/>
          <w:b/>
          <w:lang w:val="fr-FR"/>
        </w:rPr>
        <w:t>9. Journée européenne des personnes sourdes et aveugles</w:t>
      </w:r>
    </w:p>
    <w:p w14:paraId="7E704587" w14:textId="2915A202" w:rsidR="00A83774" w:rsidRPr="00A0225A" w:rsidRDefault="00A83774" w:rsidP="00A83774">
      <w:pPr>
        <w:jc w:val="both"/>
        <w:rPr>
          <w:rFonts w:ascii="Calibri" w:hAnsi="Calibri"/>
          <w:lang w:val="fr-FR"/>
        </w:rPr>
      </w:pPr>
      <w:r w:rsidRPr="00A0225A">
        <w:rPr>
          <w:rFonts w:ascii="Calibri" w:hAnsi="Calibri"/>
          <w:lang w:val="fr-FR"/>
        </w:rPr>
        <w:t xml:space="preserve">Nous appelons l'UE et les gouvernements nationaux à reconnaître officiellement la Journée européenne des personnes sourdaveugles, le 22 octobre, date de la création de l'EDbU le 22 octobre 2003. L'Union européenne des </w:t>
      </w:r>
      <w:r w:rsidR="00A0225A">
        <w:rPr>
          <w:rFonts w:ascii="Calibri" w:hAnsi="Calibri"/>
          <w:lang w:val="fr-FR"/>
        </w:rPr>
        <w:t>sourdaveugles</w:t>
      </w:r>
      <w:r w:rsidRPr="00A0225A">
        <w:rPr>
          <w:rFonts w:ascii="Calibri" w:hAnsi="Calibri"/>
          <w:lang w:val="fr-FR"/>
        </w:rPr>
        <w:t xml:space="preserve"> (EDbU) est une organisation qui a une longue tradition de protection des droits et des intérêts légitimes des personnes sourdaveugles dans toute l'Europe.</w:t>
      </w:r>
    </w:p>
    <w:p w14:paraId="34285B15" w14:textId="77777777" w:rsidR="00A83774" w:rsidRPr="00A0225A" w:rsidRDefault="00A83774" w:rsidP="00A83774">
      <w:pPr>
        <w:jc w:val="both"/>
        <w:rPr>
          <w:rFonts w:ascii="Calibri" w:hAnsi="Calibri"/>
          <w:lang w:val="fr-FR"/>
        </w:rPr>
      </w:pPr>
      <w:r w:rsidRPr="00A0225A">
        <w:rPr>
          <w:rFonts w:ascii="Calibri" w:hAnsi="Calibri"/>
          <w:lang w:val="fr-FR"/>
        </w:rPr>
        <w:t>Une reconnaissance officielle est essentielle pour assurer la visibilité, le soutien et les ressources de notre communauté.</w:t>
      </w:r>
    </w:p>
    <w:p w14:paraId="0B3B0508" w14:textId="77777777" w:rsidR="00A83774" w:rsidRPr="00A0225A" w:rsidRDefault="00A83774" w:rsidP="00D825EF">
      <w:pPr>
        <w:spacing w:before="360" w:after="240"/>
        <w:jc w:val="both"/>
        <w:rPr>
          <w:rFonts w:ascii="Calibri" w:hAnsi="Calibri"/>
          <w:b/>
          <w:lang w:val="fr-FR"/>
        </w:rPr>
      </w:pPr>
      <w:r w:rsidRPr="00A0225A">
        <w:rPr>
          <w:rFonts w:ascii="Calibri" w:hAnsi="Calibri"/>
          <w:b/>
          <w:lang w:val="fr-FR"/>
        </w:rPr>
        <w:t>10. La canne rouge-blanche - un symbole de surdicécité</w:t>
      </w:r>
    </w:p>
    <w:p w14:paraId="723CB38F" w14:textId="6E7A894A" w:rsidR="00A83774" w:rsidRPr="00A0225A" w:rsidRDefault="00A83774" w:rsidP="00A83774">
      <w:pPr>
        <w:jc w:val="both"/>
        <w:rPr>
          <w:rFonts w:ascii="Calibri" w:hAnsi="Calibri"/>
          <w:lang w:val="fr-FR"/>
        </w:rPr>
      </w:pPr>
      <w:r w:rsidRPr="00A0225A">
        <w:rPr>
          <w:rFonts w:ascii="Calibri" w:hAnsi="Calibri"/>
          <w:lang w:val="fr-FR"/>
        </w:rPr>
        <w:t>La canne rouge-blanche est un symbole de la surdicécité et un signe qui donne de la visibilité et de l'identité à la communauté sourdaveugle.</w:t>
      </w:r>
    </w:p>
    <w:p w14:paraId="1DC162DF" w14:textId="77777777" w:rsidR="00A83774" w:rsidRPr="00A0225A" w:rsidRDefault="00A83774" w:rsidP="00A83774">
      <w:pPr>
        <w:jc w:val="both"/>
        <w:rPr>
          <w:rFonts w:ascii="Calibri" w:hAnsi="Calibri"/>
          <w:lang w:val="fr-FR"/>
        </w:rPr>
      </w:pPr>
      <w:r w:rsidRPr="00A0225A">
        <w:rPr>
          <w:rFonts w:ascii="Calibri" w:hAnsi="Calibri"/>
          <w:lang w:val="fr-FR"/>
        </w:rPr>
        <w:t>Nous appelons les organisations publiques à reconnaître et à promouvoir ce symbole afin de donner de la visibilité aux personnes atteintes de surdicécité et aux défis auxquels nous sommes confrontés.</w:t>
      </w:r>
    </w:p>
    <w:p w14:paraId="1EFACA79" w14:textId="19EA5637" w:rsidR="00A83774" w:rsidRPr="00A0225A" w:rsidRDefault="00A83774" w:rsidP="00D825EF">
      <w:pPr>
        <w:spacing w:before="360" w:after="240"/>
        <w:jc w:val="both"/>
        <w:rPr>
          <w:rFonts w:ascii="Calibri" w:hAnsi="Calibri"/>
          <w:b/>
          <w:lang w:val="fr-FR"/>
        </w:rPr>
      </w:pPr>
      <w:r w:rsidRPr="00A0225A">
        <w:rPr>
          <w:rFonts w:ascii="Calibri" w:hAnsi="Calibri"/>
          <w:b/>
          <w:lang w:val="fr-FR"/>
        </w:rPr>
        <w:t xml:space="preserve">11. Soutien aux associations de </w:t>
      </w:r>
      <w:r w:rsidR="00A0225A">
        <w:rPr>
          <w:rFonts w:ascii="Calibri" w:hAnsi="Calibri"/>
          <w:b/>
          <w:lang w:val="fr-FR"/>
        </w:rPr>
        <w:t>sourdaveugles</w:t>
      </w:r>
    </w:p>
    <w:p w14:paraId="1636460C" w14:textId="49178652" w:rsidR="00A83774" w:rsidRPr="00A0225A" w:rsidRDefault="00A83774" w:rsidP="00A83774">
      <w:pPr>
        <w:jc w:val="both"/>
        <w:rPr>
          <w:rFonts w:ascii="Calibri" w:hAnsi="Calibri"/>
          <w:lang w:val="fr-FR"/>
        </w:rPr>
      </w:pPr>
      <w:r w:rsidRPr="00A0225A">
        <w:rPr>
          <w:rFonts w:ascii="Calibri" w:hAnsi="Calibri"/>
          <w:lang w:val="fr-FR"/>
        </w:rPr>
        <w:t xml:space="preserve">Nous appelons à la solidarité et au soutien des organisations de </w:t>
      </w:r>
      <w:r w:rsidR="00A0225A">
        <w:rPr>
          <w:rFonts w:ascii="Calibri" w:hAnsi="Calibri"/>
          <w:lang w:val="fr-FR"/>
        </w:rPr>
        <w:t>sourdaveugles</w:t>
      </w:r>
      <w:r w:rsidRPr="00A0225A">
        <w:rPr>
          <w:rFonts w:ascii="Calibri" w:hAnsi="Calibri"/>
          <w:lang w:val="fr-FR"/>
        </w:rPr>
        <w:t xml:space="preserve"> de tous les pays européens, dirigées par des personnes sourdaveugles et créées dans le but de parvenir à l'égalité des chances et à l'exercice effectif de nos droits, conformément à la Convention internationale des Nations Unies relative aux droits des personnes handicapées.</w:t>
      </w:r>
    </w:p>
    <w:p w14:paraId="3B29F5C7" w14:textId="627E866D" w:rsidR="00A83774" w:rsidRPr="00A0225A" w:rsidRDefault="00A83774" w:rsidP="00D825EF">
      <w:pPr>
        <w:spacing w:before="360" w:after="240"/>
        <w:jc w:val="both"/>
        <w:rPr>
          <w:rFonts w:ascii="Calibri" w:hAnsi="Calibri"/>
          <w:b/>
          <w:lang w:val="fr-FR"/>
        </w:rPr>
      </w:pPr>
      <w:r w:rsidRPr="00A0225A">
        <w:rPr>
          <w:rFonts w:ascii="Calibri" w:hAnsi="Calibri"/>
          <w:b/>
          <w:lang w:val="fr-FR"/>
        </w:rPr>
        <w:t>12. Droits des femmes et des filles sourdaveugles</w:t>
      </w:r>
    </w:p>
    <w:p w14:paraId="53C6AEB4" w14:textId="24B29F30" w:rsidR="00A83774" w:rsidRPr="00A0225A" w:rsidRDefault="00A83774" w:rsidP="00A83774">
      <w:pPr>
        <w:jc w:val="both"/>
        <w:rPr>
          <w:rFonts w:ascii="Calibri" w:hAnsi="Calibri"/>
          <w:lang w:val="fr-FR"/>
        </w:rPr>
      </w:pPr>
      <w:r w:rsidRPr="00A0225A">
        <w:rPr>
          <w:rFonts w:ascii="Calibri" w:hAnsi="Calibri"/>
          <w:lang w:val="fr-FR"/>
        </w:rPr>
        <w:t>Les femmes et les filles sourdaveugles sont confrontées chaque jour à d'énormes défis, tels que la discrimination et le risque de violence. Une femme ou une fille sourd</w:t>
      </w:r>
      <w:r w:rsidR="00A0225A">
        <w:rPr>
          <w:rFonts w:ascii="Calibri" w:hAnsi="Calibri"/>
          <w:lang w:val="fr-FR"/>
        </w:rPr>
        <w:t>a</w:t>
      </w:r>
      <w:r w:rsidRPr="00A0225A">
        <w:rPr>
          <w:rFonts w:ascii="Calibri" w:hAnsi="Calibri"/>
          <w:lang w:val="fr-FR"/>
        </w:rPr>
        <w:t>veugle est toujours vulnérable et une cible facile pour les agressions et les humiliations.</w:t>
      </w:r>
    </w:p>
    <w:p w14:paraId="08292050" w14:textId="77777777" w:rsidR="00A83774" w:rsidRPr="00A0225A" w:rsidRDefault="00A83774" w:rsidP="00A83774">
      <w:pPr>
        <w:jc w:val="both"/>
        <w:rPr>
          <w:rFonts w:ascii="Calibri" w:hAnsi="Calibri"/>
          <w:lang w:val="fr-FR"/>
        </w:rPr>
      </w:pPr>
      <w:r w:rsidRPr="00A0225A">
        <w:rPr>
          <w:rFonts w:ascii="Calibri" w:hAnsi="Calibri"/>
          <w:lang w:val="fr-FR"/>
        </w:rPr>
        <w:t>Nous insistons sur l'inclusion dans l'élaboration des stratégies et la prise de mesures adéquates garantissant les droits humains fondamentaux et les intérêts légitimes, sur un pied d'égalité avec les autres femmes et filles, avec ou sans handicap.</w:t>
      </w:r>
    </w:p>
    <w:p w14:paraId="2CC94646" w14:textId="17D1C5C1" w:rsidR="00A83774" w:rsidRPr="00A0225A" w:rsidRDefault="00A83774" w:rsidP="004A02E8">
      <w:pPr>
        <w:spacing w:before="360" w:after="240"/>
        <w:jc w:val="both"/>
        <w:rPr>
          <w:rFonts w:ascii="Calibri" w:hAnsi="Calibri"/>
          <w:b/>
          <w:lang w:val="fr-FR"/>
        </w:rPr>
      </w:pPr>
      <w:r w:rsidRPr="00A0225A">
        <w:rPr>
          <w:rFonts w:ascii="Calibri" w:hAnsi="Calibri"/>
          <w:b/>
          <w:lang w:val="fr-FR"/>
        </w:rPr>
        <w:lastRenderedPageBreak/>
        <w:t>13. Autonomisation des jeunes sourdaveugles</w:t>
      </w:r>
    </w:p>
    <w:p w14:paraId="4099C186" w14:textId="77777777" w:rsidR="00A83774" w:rsidRPr="00A0225A" w:rsidRDefault="00A83774" w:rsidP="00A83774">
      <w:pPr>
        <w:jc w:val="both"/>
        <w:rPr>
          <w:rFonts w:ascii="Calibri" w:hAnsi="Calibri"/>
          <w:lang w:val="fr-FR"/>
        </w:rPr>
      </w:pPr>
      <w:r w:rsidRPr="00A0225A">
        <w:rPr>
          <w:rFonts w:ascii="Calibri" w:hAnsi="Calibri"/>
          <w:lang w:val="fr-FR"/>
        </w:rPr>
        <w:t>Nous insistons sur l'accès équitable à l'éducation, au travail, au temps libre et à l'égalité dans la vie publique. Assurer une enfance et une adolescence épanouies, en tant que citoyens de l'Union européenne.</w:t>
      </w:r>
    </w:p>
    <w:p w14:paraId="65A20034" w14:textId="77777777" w:rsidR="00A83774" w:rsidRPr="00A0225A" w:rsidRDefault="00A83774" w:rsidP="004A02E8">
      <w:pPr>
        <w:spacing w:before="360" w:after="240"/>
        <w:jc w:val="both"/>
        <w:rPr>
          <w:rFonts w:ascii="Calibri" w:hAnsi="Calibri"/>
          <w:b/>
          <w:lang w:val="fr-FR"/>
        </w:rPr>
      </w:pPr>
      <w:r w:rsidRPr="00A0225A">
        <w:rPr>
          <w:rFonts w:ascii="Calibri" w:hAnsi="Calibri"/>
          <w:b/>
          <w:lang w:val="fr-FR"/>
        </w:rPr>
        <w:t>14. Vieillir dans la dignité</w:t>
      </w:r>
    </w:p>
    <w:p w14:paraId="12EEB285" w14:textId="636CD490" w:rsidR="00A83774" w:rsidRPr="00A0225A" w:rsidRDefault="00A83774" w:rsidP="00A83774">
      <w:pPr>
        <w:jc w:val="both"/>
        <w:rPr>
          <w:rFonts w:ascii="Calibri" w:hAnsi="Calibri"/>
          <w:lang w:val="fr-FR"/>
        </w:rPr>
      </w:pPr>
      <w:r w:rsidRPr="00A0225A">
        <w:rPr>
          <w:rFonts w:ascii="Calibri" w:hAnsi="Calibri"/>
          <w:lang w:val="fr-FR"/>
        </w:rPr>
        <w:t>Nous insistons sur un vieillissement digne des personnes sourdaveugles, dans le respect de leurs droits, une garantie que vieillir ne signifie pas une perte d'identité ou une exclusion de la société.</w:t>
      </w:r>
    </w:p>
    <w:p w14:paraId="6A4353CF" w14:textId="62C79218" w:rsidR="00A83774" w:rsidRPr="00A0225A" w:rsidRDefault="00A83774" w:rsidP="00A83774">
      <w:pPr>
        <w:jc w:val="both"/>
        <w:rPr>
          <w:rFonts w:ascii="Calibri" w:hAnsi="Calibri"/>
          <w:lang w:val="fr-FR"/>
        </w:rPr>
      </w:pPr>
      <w:r w:rsidRPr="00A0225A">
        <w:rPr>
          <w:rFonts w:ascii="Calibri" w:hAnsi="Calibri"/>
          <w:lang w:val="fr-FR"/>
        </w:rPr>
        <w:t>Nous appelons à la solidarité, au soutien et à des soins et services de qualité assurant une vie de qualité jusqu'à un âge avancé pour les personnes âgées sourdaveugles. Préserver leur dignité de citoyens de leur pays et de la société.</w:t>
      </w:r>
    </w:p>
    <w:p w14:paraId="0E833091" w14:textId="6C9D882E" w:rsidR="00A83774" w:rsidRPr="00A0225A" w:rsidRDefault="00A83774" w:rsidP="004A02E8">
      <w:pPr>
        <w:spacing w:before="720"/>
        <w:jc w:val="both"/>
        <w:rPr>
          <w:rFonts w:ascii="Calibri" w:hAnsi="Calibri"/>
          <w:lang w:val="fr-FR"/>
        </w:rPr>
      </w:pPr>
      <w:r w:rsidRPr="00A0225A">
        <w:rPr>
          <w:rFonts w:ascii="Calibri" w:hAnsi="Calibri"/>
          <w:lang w:val="fr-FR"/>
        </w:rPr>
        <w:t>En cette Journée européenne des personnes sourdaveugles, le 22 octobre 2024, unissons-nous et atteignons nos objectifs ensemble !</w:t>
      </w:r>
    </w:p>
    <w:p w14:paraId="59EAD442" w14:textId="77777777" w:rsidR="00A83774" w:rsidRPr="00A0225A" w:rsidRDefault="00A83774" w:rsidP="00A83774">
      <w:pPr>
        <w:jc w:val="both"/>
        <w:rPr>
          <w:rFonts w:ascii="Calibri" w:hAnsi="Calibri"/>
          <w:lang w:val="fr-FR"/>
        </w:rPr>
      </w:pPr>
      <w:r w:rsidRPr="00A0225A">
        <w:rPr>
          <w:rFonts w:ascii="Calibri" w:hAnsi="Calibri"/>
          <w:lang w:val="fr-FR"/>
        </w:rPr>
        <w:t>Nous exigeons la mise en œuvre de politiques et d'actions concrètes qui amélioreront nos vies !</w:t>
      </w:r>
    </w:p>
    <w:p w14:paraId="20DDE0EA" w14:textId="6BA1C788" w:rsidR="00A83774" w:rsidRPr="00A0225A" w:rsidRDefault="00A83774" w:rsidP="00A83774">
      <w:pPr>
        <w:jc w:val="both"/>
        <w:rPr>
          <w:rFonts w:ascii="Calibri" w:hAnsi="Calibri"/>
          <w:lang w:val="fr-FR"/>
        </w:rPr>
      </w:pPr>
      <w:r w:rsidRPr="00A0225A">
        <w:rPr>
          <w:rFonts w:ascii="Calibri" w:hAnsi="Calibri"/>
          <w:lang w:val="fr-FR"/>
        </w:rPr>
        <w:t>Europe, nous sommes ici et nous demandons des mesures urgentes et des actions de la part des autorités compétentes pour la sécurité et la dignité des personnes sourdaveugles.</w:t>
      </w:r>
    </w:p>
    <w:p w14:paraId="05C20F13" w14:textId="7B15C597" w:rsidR="00716F91" w:rsidRPr="00A0225A" w:rsidRDefault="00A83774" w:rsidP="00A83774">
      <w:pPr>
        <w:jc w:val="both"/>
        <w:rPr>
          <w:rFonts w:ascii="Calibri" w:hAnsi="Calibri"/>
          <w:lang w:val="fr-FR"/>
        </w:rPr>
      </w:pPr>
      <w:r w:rsidRPr="00A0225A">
        <w:rPr>
          <w:rFonts w:ascii="Calibri" w:hAnsi="Calibri"/>
          <w:lang w:val="fr-FR"/>
        </w:rPr>
        <w:t>Nous exigeons la reconnaissance que nous méritons. Ensemble, nous pouvons réaliser nos rêves.</w:t>
      </w:r>
    </w:p>
    <w:p w14:paraId="095E3752" w14:textId="77777777" w:rsidR="00815227" w:rsidRPr="00A0225A" w:rsidRDefault="00A83774" w:rsidP="000D3E08">
      <w:pPr>
        <w:spacing w:before="720" w:after="240"/>
        <w:jc w:val="both"/>
        <w:rPr>
          <w:rFonts w:ascii="Calibri" w:hAnsi="Calibri"/>
          <w:bCs/>
          <w:caps/>
          <w:u w:val="single"/>
          <w:lang w:val="fr-FR"/>
        </w:rPr>
      </w:pPr>
      <w:r w:rsidRPr="00A0225A">
        <w:rPr>
          <w:rFonts w:ascii="Calibri" w:hAnsi="Calibri"/>
          <w:bCs/>
          <w:caps/>
          <w:u w:val="single"/>
          <w:lang w:val="fr-FR"/>
        </w:rPr>
        <w:t>Publié le 22 octobre 2024</w:t>
      </w:r>
    </w:p>
    <w:p w14:paraId="0DE2B532" w14:textId="129B5291" w:rsidR="00036390" w:rsidRPr="00A0225A" w:rsidRDefault="00036390" w:rsidP="008708EC">
      <w:pPr>
        <w:spacing w:before="240" w:after="720"/>
        <w:jc w:val="both"/>
        <w:rPr>
          <w:rFonts w:ascii="Calibri" w:hAnsi="Calibri"/>
          <w:bCs/>
          <w:caps/>
          <w:u w:val="single"/>
          <w:lang w:val="fr-FR"/>
        </w:rPr>
      </w:pPr>
      <w:r w:rsidRPr="00A0225A">
        <w:rPr>
          <w:rFonts w:ascii="Calibri" w:hAnsi="Calibri"/>
          <w:bCs/>
          <w:caps/>
          <w:u w:val="single"/>
          <w:lang w:val="fr-FR"/>
        </w:rPr>
        <w:t xml:space="preserve">par le Comité exécutif de l'Union européenne des </w:t>
      </w:r>
      <w:r w:rsidR="00A0225A">
        <w:rPr>
          <w:rFonts w:ascii="Calibri" w:hAnsi="Calibri"/>
          <w:bCs/>
          <w:caps/>
          <w:u w:val="single"/>
          <w:lang w:val="fr-FR"/>
        </w:rPr>
        <w:t>sourdaveugles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917CA8" w14:paraId="79F63413" w14:textId="77777777" w:rsidTr="00CF1644">
        <w:tc>
          <w:tcPr>
            <w:tcW w:w="4528" w:type="dxa"/>
          </w:tcPr>
          <w:p w14:paraId="1317DABE" w14:textId="1B893980" w:rsidR="00917CA8" w:rsidRPr="00917CA8" w:rsidRDefault="00917CA8" w:rsidP="00917CA8">
            <w:pPr>
              <w:jc w:val="center"/>
              <w:rPr>
                <w:rFonts w:ascii="Calibri" w:hAnsi="Calibri"/>
                <w:b/>
                <w:bCs/>
                <w:lang w:val="es-ES"/>
              </w:rPr>
            </w:pPr>
            <w:r w:rsidRPr="00A0225A">
              <w:rPr>
                <w:rFonts w:ascii="Calibri" w:hAnsi="Calibri"/>
                <w:b/>
                <w:bCs/>
                <w:lang w:val="fr-FR"/>
              </w:rPr>
              <w:t xml:space="preserve">Francisco Javier </w:t>
            </w:r>
            <w:proofErr w:type="spellStart"/>
            <w:r w:rsidRPr="00A0225A">
              <w:rPr>
                <w:rFonts w:ascii="Calibri" w:hAnsi="Calibri"/>
                <w:b/>
                <w:bCs/>
                <w:lang w:val="fr-FR"/>
              </w:rPr>
              <w:t>Trigueros</w:t>
            </w:r>
            <w:proofErr w:type="spellEnd"/>
            <w:r w:rsidRPr="00A0225A">
              <w:rPr>
                <w:rFonts w:ascii="Calibri" w:hAnsi="Calibri"/>
                <w:b/>
                <w:bCs/>
                <w:lang w:val="fr-FR"/>
              </w:rPr>
              <w:t xml:space="preserve"> Molina</w:t>
            </w:r>
          </w:p>
          <w:p w14:paraId="311B724F" w14:textId="1E408788" w:rsidR="00917CA8" w:rsidRDefault="00917CA8" w:rsidP="00917CA8">
            <w:pPr>
              <w:jc w:val="center"/>
              <w:rPr>
                <w:rFonts w:ascii="Calibri" w:hAnsi="Calibri"/>
                <w:bCs/>
                <w:lang w:val="es-ES"/>
              </w:rPr>
            </w:pPr>
            <w:r w:rsidRPr="00A0225A">
              <w:rPr>
                <w:rFonts w:ascii="Calibri" w:hAnsi="Calibri"/>
                <w:lang w:val="fr-FR"/>
              </w:rPr>
              <w:t>Président</w:t>
            </w:r>
          </w:p>
        </w:tc>
        <w:tc>
          <w:tcPr>
            <w:tcW w:w="4528" w:type="dxa"/>
          </w:tcPr>
          <w:p w14:paraId="305BCA56" w14:textId="77777777" w:rsidR="00917CA8" w:rsidRPr="00917CA8" w:rsidRDefault="00917CA8" w:rsidP="00917CA8">
            <w:pPr>
              <w:jc w:val="center"/>
              <w:rPr>
                <w:rFonts w:ascii="Calibri" w:hAnsi="Calibri"/>
                <w:b/>
                <w:bCs/>
                <w:lang w:val="es-ES"/>
              </w:rPr>
            </w:pPr>
            <w:r w:rsidRPr="00917CA8">
              <w:rPr>
                <w:rFonts w:ascii="Calibri" w:hAnsi="Calibri"/>
                <w:b/>
                <w:bCs/>
              </w:rPr>
              <w:t>Tamás Gangl</w:t>
            </w:r>
          </w:p>
          <w:p w14:paraId="04FD06B0" w14:textId="49EE1BCA" w:rsidR="00917CA8" w:rsidRDefault="00917CA8" w:rsidP="00917CA8">
            <w:pPr>
              <w:jc w:val="center"/>
              <w:rPr>
                <w:rFonts w:ascii="Calibri" w:hAnsi="Calibri"/>
                <w:bCs/>
                <w:lang w:val="es-ES"/>
              </w:rPr>
            </w:pPr>
            <w:r>
              <w:rPr>
                <w:rFonts w:ascii="Calibri" w:hAnsi="Calibri"/>
                <w:bCs/>
              </w:rPr>
              <w:t>Vice-président</w:t>
            </w:r>
          </w:p>
        </w:tc>
      </w:tr>
      <w:tr w:rsidR="00917CA8" w14:paraId="32658EA7" w14:textId="77777777" w:rsidTr="00CF1644">
        <w:tc>
          <w:tcPr>
            <w:tcW w:w="4528" w:type="dxa"/>
          </w:tcPr>
          <w:p w14:paraId="7538A832" w14:textId="77777777" w:rsidR="00917CA8" w:rsidRDefault="00917CA8" w:rsidP="00917CA8">
            <w:pPr>
              <w:jc w:val="center"/>
              <w:rPr>
                <w:rFonts w:ascii="Calibri" w:hAnsi="Calibri"/>
                <w:bCs/>
                <w:lang w:val="es-ES"/>
              </w:rPr>
            </w:pPr>
          </w:p>
        </w:tc>
        <w:tc>
          <w:tcPr>
            <w:tcW w:w="4528" w:type="dxa"/>
          </w:tcPr>
          <w:p w14:paraId="19998A91" w14:textId="77777777" w:rsidR="00917CA8" w:rsidRDefault="00917CA8" w:rsidP="00917CA8">
            <w:pPr>
              <w:jc w:val="center"/>
              <w:rPr>
                <w:rFonts w:ascii="Calibri" w:hAnsi="Calibri"/>
                <w:bCs/>
                <w:lang w:val="es-ES"/>
              </w:rPr>
            </w:pPr>
          </w:p>
        </w:tc>
      </w:tr>
      <w:tr w:rsidR="00917CA8" w:rsidRPr="00414735" w14:paraId="0CF64063" w14:textId="77777777" w:rsidTr="00CF1644">
        <w:tc>
          <w:tcPr>
            <w:tcW w:w="4528" w:type="dxa"/>
          </w:tcPr>
          <w:p w14:paraId="4E675DBC" w14:textId="77777777" w:rsidR="00917CA8" w:rsidRPr="00917CA8" w:rsidRDefault="00917CA8" w:rsidP="00917CA8">
            <w:pPr>
              <w:jc w:val="center"/>
              <w:rPr>
                <w:rFonts w:ascii="Calibri" w:hAnsi="Calibri"/>
                <w:b/>
                <w:bCs/>
                <w:lang w:val="es-ES"/>
              </w:rPr>
            </w:pPr>
            <w:proofErr w:type="spellStart"/>
            <w:r w:rsidRPr="00A0225A">
              <w:rPr>
                <w:rFonts w:ascii="Calibri" w:hAnsi="Calibri"/>
                <w:b/>
                <w:bCs/>
                <w:lang w:val="fr-FR"/>
              </w:rPr>
              <w:t>Sanja</w:t>
            </w:r>
            <w:proofErr w:type="spellEnd"/>
            <w:r w:rsidRPr="00A0225A">
              <w:rPr>
                <w:rFonts w:ascii="Calibri" w:hAnsi="Calibri"/>
                <w:b/>
                <w:bCs/>
                <w:lang w:val="fr-FR"/>
              </w:rPr>
              <w:t xml:space="preserve"> </w:t>
            </w:r>
            <w:proofErr w:type="spellStart"/>
            <w:r w:rsidRPr="00A0225A">
              <w:rPr>
                <w:rFonts w:ascii="Calibri" w:hAnsi="Calibri"/>
                <w:b/>
                <w:bCs/>
                <w:lang w:val="fr-FR"/>
              </w:rPr>
              <w:t>Tarczay</w:t>
            </w:r>
            <w:proofErr w:type="spellEnd"/>
            <w:r w:rsidRPr="00A0225A">
              <w:rPr>
                <w:rFonts w:ascii="Calibri" w:hAnsi="Calibri"/>
                <w:b/>
                <w:bCs/>
                <w:lang w:val="fr-FR"/>
              </w:rPr>
              <w:t xml:space="preserve">, </w:t>
            </w:r>
            <w:proofErr w:type="spellStart"/>
            <w:r w:rsidRPr="00A0225A">
              <w:rPr>
                <w:rFonts w:ascii="Calibri" w:hAnsi="Calibri"/>
                <w:b/>
                <w:bCs/>
                <w:lang w:val="fr-FR"/>
              </w:rPr>
              <w:t>Ph.D</w:t>
            </w:r>
            <w:proofErr w:type="spellEnd"/>
            <w:r w:rsidRPr="00A0225A">
              <w:rPr>
                <w:rFonts w:ascii="Calibri" w:hAnsi="Calibri"/>
                <w:b/>
                <w:bCs/>
                <w:lang w:val="fr-FR"/>
              </w:rPr>
              <w:t>.</w:t>
            </w:r>
          </w:p>
          <w:p w14:paraId="7D1E7C6C" w14:textId="36A9BCCA" w:rsidR="00917CA8" w:rsidRDefault="00917CA8" w:rsidP="00917CA8">
            <w:pPr>
              <w:jc w:val="center"/>
              <w:rPr>
                <w:rFonts w:ascii="Calibri" w:hAnsi="Calibri"/>
                <w:bCs/>
                <w:lang w:val="es-ES"/>
              </w:rPr>
            </w:pPr>
            <w:r w:rsidRPr="00A0225A">
              <w:rPr>
                <w:rFonts w:ascii="Calibri" w:hAnsi="Calibri"/>
                <w:bCs/>
                <w:lang w:val="fr-FR"/>
              </w:rPr>
              <w:t>Membre du CE</w:t>
            </w:r>
          </w:p>
        </w:tc>
        <w:tc>
          <w:tcPr>
            <w:tcW w:w="4528" w:type="dxa"/>
          </w:tcPr>
          <w:p w14:paraId="5C689EC7" w14:textId="77777777" w:rsidR="00917CA8" w:rsidRPr="00917CA8" w:rsidRDefault="00917CA8" w:rsidP="00917CA8">
            <w:pPr>
              <w:jc w:val="center"/>
              <w:rPr>
                <w:rFonts w:ascii="Calibri" w:hAnsi="Calibri"/>
                <w:b/>
                <w:bCs/>
                <w:lang w:val="es-ES"/>
              </w:rPr>
            </w:pPr>
            <w:proofErr w:type="spellStart"/>
            <w:r w:rsidRPr="00A0225A">
              <w:rPr>
                <w:rFonts w:ascii="Calibri" w:hAnsi="Calibri"/>
                <w:b/>
                <w:bCs/>
                <w:lang w:val="fr-FR"/>
              </w:rPr>
              <w:t>Velichka</w:t>
            </w:r>
            <w:proofErr w:type="spellEnd"/>
            <w:r w:rsidRPr="00A0225A">
              <w:rPr>
                <w:rFonts w:ascii="Calibri" w:hAnsi="Calibri"/>
                <w:b/>
                <w:bCs/>
                <w:lang w:val="fr-FR"/>
              </w:rPr>
              <w:t xml:space="preserve"> </w:t>
            </w:r>
            <w:proofErr w:type="spellStart"/>
            <w:r w:rsidRPr="00A0225A">
              <w:rPr>
                <w:rFonts w:ascii="Calibri" w:hAnsi="Calibri"/>
                <w:b/>
                <w:bCs/>
                <w:lang w:val="fr-FR"/>
              </w:rPr>
              <w:t>Draganova</w:t>
            </w:r>
            <w:proofErr w:type="spellEnd"/>
          </w:p>
          <w:p w14:paraId="159840AF" w14:textId="415A272E" w:rsidR="00917CA8" w:rsidRDefault="00917CA8" w:rsidP="00917CA8">
            <w:pPr>
              <w:jc w:val="center"/>
              <w:rPr>
                <w:rFonts w:ascii="Calibri" w:hAnsi="Calibri"/>
                <w:bCs/>
                <w:lang w:val="es-ES"/>
              </w:rPr>
            </w:pPr>
            <w:r w:rsidRPr="00A0225A">
              <w:rPr>
                <w:rFonts w:ascii="Calibri" w:hAnsi="Calibri"/>
                <w:bCs/>
                <w:lang w:val="fr-FR"/>
              </w:rPr>
              <w:t>Membre du CE</w:t>
            </w:r>
          </w:p>
        </w:tc>
      </w:tr>
      <w:tr w:rsidR="00917CA8" w:rsidRPr="00414735" w14:paraId="7ACE192A" w14:textId="77777777" w:rsidTr="00CF1644">
        <w:tc>
          <w:tcPr>
            <w:tcW w:w="4528" w:type="dxa"/>
          </w:tcPr>
          <w:p w14:paraId="5E10BC07" w14:textId="77777777" w:rsidR="00917CA8" w:rsidRDefault="00917CA8" w:rsidP="00917CA8">
            <w:pPr>
              <w:jc w:val="center"/>
              <w:rPr>
                <w:rFonts w:ascii="Calibri" w:hAnsi="Calibri"/>
                <w:bCs/>
                <w:lang w:val="es-ES"/>
              </w:rPr>
            </w:pPr>
          </w:p>
        </w:tc>
        <w:tc>
          <w:tcPr>
            <w:tcW w:w="4528" w:type="dxa"/>
          </w:tcPr>
          <w:p w14:paraId="430A3CDF" w14:textId="77777777" w:rsidR="00917CA8" w:rsidRDefault="00917CA8" w:rsidP="00917CA8">
            <w:pPr>
              <w:jc w:val="center"/>
              <w:rPr>
                <w:rFonts w:ascii="Calibri" w:hAnsi="Calibri"/>
                <w:bCs/>
                <w:lang w:val="es-ES"/>
              </w:rPr>
            </w:pPr>
          </w:p>
        </w:tc>
      </w:tr>
      <w:tr w:rsidR="00CF1644" w:rsidRPr="00414735" w14:paraId="4325863C" w14:textId="77777777" w:rsidTr="0016372F">
        <w:tc>
          <w:tcPr>
            <w:tcW w:w="9056" w:type="dxa"/>
            <w:gridSpan w:val="2"/>
          </w:tcPr>
          <w:p w14:paraId="49D846C9" w14:textId="77777777" w:rsidR="00CF1644" w:rsidRPr="00CF1644" w:rsidRDefault="00CF1644" w:rsidP="00917CA8">
            <w:pPr>
              <w:jc w:val="center"/>
              <w:rPr>
                <w:rFonts w:ascii="Calibri" w:hAnsi="Calibri"/>
                <w:b/>
                <w:bCs/>
                <w:lang w:val="es-ES"/>
              </w:rPr>
            </w:pPr>
            <w:r w:rsidRPr="00A0225A">
              <w:rPr>
                <w:rFonts w:ascii="Calibri" w:hAnsi="Calibri"/>
                <w:b/>
                <w:bCs/>
                <w:lang w:val="fr-FR"/>
              </w:rPr>
              <w:t>Peter Vanhoutte</w:t>
            </w:r>
          </w:p>
          <w:p w14:paraId="093EA3FB" w14:textId="09205C4C" w:rsidR="00CF1644" w:rsidRDefault="00CF1644" w:rsidP="00917CA8">
            <w:pPr>
              <w:jc w:val="center"/>
              <w:rPr>
                <w:rFonts w:ascii="Calibri" w:hAnsi="Calibri"/>
                <w:bCs/>
                <w:lang w:val="es-ES"/>
              </w:rPr>
            </w:pPr>
            <w:r w:rsidRPr="00A0225A">
              <w:rPr>
                <w:rFonts w:ascii="Calibri" w:hAnsi="Calibri"/>
                <w:bCs/>
                <w:lang w:val="fr-FR"/>
              </w:rPr>
              <w:t>Membre du CE</w:t>
            </w:r>
          </w:p>
        </w:tc>
      </w:tr>
      <w:tr w:rsidR="00917CA8" w:rsidRPr="00414735" w14:paraId="7585F60C" w14:textId="77777777" w:rsidTr="00CF1644">
        <w:tc>
          <w:tcPr>
            <w:tcW w:w="4528" w:type="dxa"/>
          </w:tcPr>
          <w:p w14:paraId="119B9287" w14:textId="77777777" w:rsidR="00917CA8" w:rsidRDefault="00917CA8" w:rsidP="00917CA8">
            <w:pPr>
              <w:jc w:val="center"/>
              <w:rPr>
                <w:rFonts w:ascii="Calibri" w:hAnsi="Calibri"/>
                <w:bCs/>
                <w:lang w:val="es-ES"/>
              </w:rPr>
            </w:pPr>
          </w:p>
        </w:tc>
        <w:tc>
          <w:tcPr>
            <w:tcW w:w="4528" w:type="dxa"/>
          </w:tcPr>
          <w:p w14:paraId="1850F9A5" w14:textId="77777777" w:rsidR="00917CA8" w:rsidRDefault="00917CA8" w:rsidP="00917CA8">
            <w:pPr>
              <w:jc w:val="center"/>
              <w:rPr>
                <w:rFonts w:ascii="Calibri" w:hAnsi="Calibri"/>
                <w:bCs/>
                <w:lang w:val="es-ES"/>
              </w:rPr>
            </w:pPr>
          </w:p>
        </w:tc>
      </w:tr>
      <w:tr w:rsidR="00917CA8" w14:paraId="3CF954D1" w14:textId="77777777" w:rsidTr="00CF1644">
        <w:tc>
          <w:tcPr>
            <w:tcW w:w="4528" w:type="dxa"/>
          </w:tcPr>
          <w:p w14:paraId="32AC4547" w14:textId="77777777" w:rsidR="00917CA8" w:rsidRPr="00CF1644" w:rsidRDefault="00CF1644" w:rsidP="00917CA8">
            <w:pPr>
              <w:jc w:val="center"/>
              <w:rPr>
                <w:rFonts w:ascii="Calibri" w:hAnsi="Calibri"/>
                <w:b/>
                <w:bCs/>
                <w:lang w:val="es-ES"/>
              </w:rPr>
            </w:pPr>
            <w:r w:rsidRPr="00A0225A">
              <w:rPr>
                <w:rFonts w:ascii="Calibri" w:hAnsi="Calibri"/>
                <w:b/>
                <w:bCs/>
                <w:lang w:val="fr-FR"/>
              </w:rPr>
              <w:t xml:space="preserve">Dr. Vera </w:t>
            </w:r>
            <w:proofErr w:type="spellStart"/>
            <w:r w:rsidRPr="00A0225A">
              <w:rPr>
                <w:rFonts w:ascii="Calibri" w:hAnsi="Calibri"/>
                <w:b/>
                <w:bCs/>
                <w:lang w:val="fr-FR"/>
              </w:rPr>
              <w:t>Kőrösiné</w:t>
            </w:r>
            <w:proofErr w:type="spellEnd"/>
            <w:r w:rsidRPr="00A0225A">
              <w:rPr>
                <w:rFonts w:ascii="Calibri" w:hAnsi="Calibri"/>
                <w:b/>
                <w:bCs/>
                <w:lang w:val="fr-FR"/>
              </w:rPr>
              <w:t xml:space="preserve"> </w:t>
            </w:r>
            <w:proofErr w:type="spellStart"/>
            <w:r w:rsidRPr="00A0225A">
              <w:rPr>
                <w:rFonts w:ascii="Calibri" w:hAnsi="Calibri"/>
                <w:b/>
                <w:bCs/>
                <w:lang w:val="fr-FR"/>
              </w:rPr>
              <w:t>Babinszki</w:t>
            </w:r>
            <w:proofErr w:type="spellEnd"/>
          </w:p>
          <w:p w14:paraId="2F3D12A9" w14:textId="319222CC" w:rsidR="00CF1644" w:rsidRDefault="00CF1644" w:rsidP="00917CA8">
            <w:pPr>
              <w:jc w:val="center"/>
              <w:rPr>
                <w:rFonts w:ascii="Calibri" w:hAnsi="Calibri"/>
                <w:bCs/>
                <w:lang w:val="es-ES"/>
              </w:rPr>
            </w:pPr>
            <w:r w:rsidRPr="00A0225A">
              <w:rPr>
                <w:rFonts w:ascii="Calibri" w:hAnsi="Calibri"/>
                <w:bCs/>
                <w:lang w:val="fr-FR"/>
              </w:rPr>
              <w:t>Auditeur</w:t>
            </w:r>
          </w:p>
        </w:tc>
        <w:tc>
          <w:tcPr>
            <w:tcW w:w="4528" w:type="dxa"/>
          </w:tcPr>
          <w:p w14:paraId="28974C52" w14:textId="77777777" w:rsidR="00917CA8" w:rsidRPr="00CF1644" w:rsidRDefault="00CF1644" w:rsidP="00917CA8">
            <w:pPr>
              <w:jc w:val="center"/>
              <w:rPr>
                <w:rFonts w:ascii="Calibri" w:hAnsi="Calibri"/>
                <w:b/>
                <w:bCs/>
                <w:lang w:val="es-ES"/>
              </w:rPr>
            </w:pPr>
            <w:r w:rsidRPr="00CF1644">
              <w:rPr>
                <w:rFonts w:ascii="Calibri" w:hAnsi="Calibri"/>
                <w:b/>
                <w:bCs/>
              </w:rPr>
              <w:t>Klas Nelfelt</w:t>
            </w:r>
          </w:p>
          <w:p w14:paraId="5501B13D" w14:textId="2FE66D06" w:rsidR="00CF1644" w:rsidRDefault="00CF1644" w:rsidP="00917CA8">
            <w:pPr>
              <w:jc w:val="center"/>
              <w:rPr>
                <w:rFonts w:ascii="Calibri" w:hAnsi="Calibri"/>
                <w:bCs/>
                <w:lang w:val="es-ES"/>
              </w:rPr>
            </w:pPr>
            <w:r>
              <w:rPr>
                <w:rFonts w:ascii="Calibri" w:hAnsi="Calibri"/>
                <w:bCs/>
              </w:rPr>
              <w:t>Auditeur</w:t>
            </w:r>
          </w:p>
        </w:tc>
      </w:tr>
    </w:tbl>
    <w:p w14:paraId="7FAD723E" w14:textId="7227B4E6" w:rsidR="008708EC" w:rsidRDefault="008708EC" w:rsidP="00815227">
      <w:pPr>
        <w:jc w:val="both"/>
        <w:rPr>
          <w:rFonts w:ascii="Calibri" w:hAnsi="Calibri"/>
          <w:bCs/>
          <w:lang w:val="es-ES"/>
        </w:rPr>
      </w:pPr>
    </w:p>
    <w:sectPr w:rsidR="008708EC" w:rsidSect="009A7604">
      <w:headerReference w:type="default" r:id="rId8"/>
      <w:footerReference w:type="even" r:id="rId9"/>
      <w:footerReference w:type="default" r:id="rId10"/>
      <w:pgSz w:w="11900" w:h="16840"/>
      <w:pgMar w:top="709"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7E4D0" w14:textId="77777777" w:rsidR="000D43D5" w:rsidRDefault="000D43D5" w:rsidP="003F0AD0">
      <w:r>
        <w:separator/>
      </w:r>
    </w:p>
  </w:endnote>
  <w:endnote w:type="continuationSeparator" w:id="0">
    <w:p w14:paraId="100727AE" w14:textId="77777777" w:rsidR="000D43D5" w:rsidRDefault="000D43D5" w:rsidP="003F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19AD" w14:textId="27CD7696" w:rsidR="00E97C8B" w:rsidRDefault="00B71BF1">
    <w:pPr>
      <w:pStyle w:val="Pieddepage"/>
    </w:pPr>
    <w:r>
      <w:tab/>
    </w:r>
    <w:r>
      <w:tab/>
    </w:r>
    <w:r w:rsidR="00CF282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1473" w14:textId="77777777" w:rsidR="00DD551A" w:rsidRDefault="00DD551A"/>
  <w:tbl>
    <w:tblPr>
      <w:tblW w:w="0" w:type="auto"/>
      <w:tblInd w:w="5" w:type="dxa"/>
      <w:tblCellMar>
        <w:left w:w="70" w:type="dxa"/>
        <w:right w:w="70" w:type="dxa"/>
      </w:tblCellMar>
      <w:tblLook w:val="0000" w:firstRow="0" w:lastRow="0" w:firstColumn="0" w:lastColumn="0" w:noHBand="0" w:noVBand="0"/>
    </w:tblPr>
    <w:tblGrid>
      <w:gridCol w:w="4528"/>
      <w:gridCol w:w="4528"/>
    </w:tblGrid>
    <w:tr w:rsidR="002B077F" w14:paraId="7C9AE0F8" w14:textId="77777777" w:rsidTr="00D04875">
      <w:tc>
        <w:tcPr>
          <w:tcW w:w="4528" w:type="dxa"/>
          <w:tcBorders>
            <w:bottom w:val="single" w:sz="18" w:space="0" w:color="auto"/>
          </w:tcBorders>
        </w:tcPr>
        <w:p w14:paraId="55952721" w14:textId="2EF51D78" w:rsidR="002F5AD4" w:rsidRPr="00FA4EAD" w:rsidRDefault="002F5AD4" w:rsidP="002B077F">
          <w:pPr>
            <w:pStyle w:val="Pieddepage"/>
            <w:jc w:val="center"/>
            <w:rPr>
              <w:rFonts w:ascii="Times New Roman" w:hAnsi="Times New Roman"/>
              <w:b/>
            </w:rPr>
          </w:pPr>
        </w:p>
      </w:tc>
      <w:tc>
        <w:tcPr>
          <w:tcW w:w="4528" w:type="dxa"/>
          <w:tcBorders>
            <w:bottom w:val="single" w:sz="18" w:space="0" w:color="auto"/>
          </w:tcBorders>
        </w:tcPr>
        <w:p w14:paraId="560AEFB5" w14:textId="43B905E8" w:rsidR="002F5AD4" w:rsidRPr="00FA4EAD" w:rsidRDefault="00376EEF" w:rsidP="00A07A1C">
          <w:pPr>
            <w:pStyle w:val="Pieddepage"/>
            <w:jc w:val="right"/>
            <w:rPr>
              <w:rFonts w:ascii="Times New Roman" w:hAnsi="Times New Roman"/>
              <w:b/>
            </w:rPr>
          </w:pPr>
          <w:r w:rsidRPr="00376EEF">
            <w:rPr>
              <w:rFonts w:ascii="Times New Roman" w:hAnsi="Times New Roman"/>
              <w:b/>
              <w:noProof/>
              <w:lang w:eastAsia="hu-HU"/>
            </w:rPr>
            <mc:AlternateContent>
              <mc:Choice Requires="wps">
                <w:drawing>
                  <wp:inline distT="0" distB="0" distL="0" distR="0" wp14:anchorId="611C8234" wp14:editId="7CAAE8FC">
                    <wp:extent cx="565785" cy="191770"/>
                    <wp:effectExtent l="0" t="0" r="0" b="0"/>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0250683" w14:textId="2C2F2DCD" w:rsidR="00376EEF" w:rsidRDefault="00376EE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D3E08" w:rsidRPr="000D3E08">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611C8234" id="Téglalap 1"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0250683" w14:textId="2C2F2DCD" w:rsidR="00376EEF" w:rsidRDefault="00376EE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D3E08" w:rsidRPr="000D3E08">
                            <w:rPr>
                              <w:noProof/>
                              <w:color w:val="ED7D31" w:themeColor="accent2"/>
                            </w:rPr>
                            <w:t>4</w:t>
                          </w:r>
                          <w:r>
                            <w:rPr>
                              <w:color w:val="ED7D31" w:themeColor="accent2"/>
                            </w:rPr>
                            <w:fldChar w:fldCharType="end"/>
                          </w:r>
                        </w:p>
                      </w:txbxContent>
                    </v:textbox>
                    <w10:anchorlock/>
                  </v:rect>
                </w:pict>
              </mc:Fallback>
            </mc:AlternateContent>
          </w:r>
        </w:p>
      </w:tc>
    </w:tr>
    <w:tr w:rsidR="00A07FC4" w14:paraId="198BA22C" w14:textId="77777777" w:rsidTr="00D04875">
      <w:tc>
        <w:tcPr>
          <w:tcW w:w="9056" w:type="dxa"/>
          <w:gridSpan w:val="2"/>
          <w:tcBorders>
            <w:top w:val="single" w:sz="18" w:space="0" w:color="auto"/>
          </w:tcBorders>
        </w:tcPr>
        <w:p w14:paraId="18034FB3" w14:textId="5EC49A19" w:rsidR="007418DB" w:rsidRPr="00A0225A" w:rsidRDefault="00C46E32" w:rsidP="00E2286E">
          <w:pPr>
            <w:pStyle w:val="Pieddepage"/>
            <w:jc w:val="center"/>
            <w:rPr>
              <w:rFonts w:ascii="Times New Roman" w:hAnsi="Times New Roman"/>
              <w:b/>
              <w:lang w:val="fr-FR"/>
            </w:rPr>
          </w:pPr>
          <w:r w:rsidRPr="00A0225A">
            <w:rPr>
              <w:rFonts w:ascii="Times New Roman" w:hAnsi="Times New Roman"/>
              <w:b/>
              <w:lang w:val="fr-FR"/>
            </w:rPr>
            <w:t>Union européenne des sourdaveugles, Rue de la Loi 26/15, 1040 Bruxelles, Belgique</w:t>
          </w:r>
        </w:p>
        <w:p w14:paraId="0B09FF16" w14:textId="5C7BE4BF" w:rsidR="00A07FC4" w:rsidRPr="003D4E16" w:rsidRDefault="00E2286E" w:rsidP="00E2286E">
          <w:pPr>
            <w:pStyle w:val="Pieddepage"/>
            <w:jc w:val="center"/>
            <w:rPr>
              <w:rFonts w:ascii="Times New Roman" w:hAnsi="Times New Roman"/>
              <w:b/>
            </w:rPr>
          </w:pPr>
          <w:r w:rsidRPr="00A0225A">
            <w:rPr>
              <w:rFonts w:ascii="Times New Roman" w:hAnsi="Times New Roman"/>
              <w:b/>
              <w:lang w:val="fr-FR"/>
            </w:rPr>
            <w:t xml:space="preserve"> </w:t>
          </w:r>
          <w:hyperlink r:id="rId1" w:history="1">
            <w:r w:rsidR="005C4D82" w:rsidRPr="003D4E16">
              <w:rPr>
                <w:rStyle w:val="Lienhypertexte"/>
                <w:rFonts w:ascii="Times New Roman" w:hAnsi="Times New Roman"/>
                <w:b/>
              </w:rPr>
              <w:t>edbu@edbu.eu</w:t>
            </w:r>
          </w:hyperlink>
          <w:r w:rsidR="005C4D82" w:rsidRPr="003D4E16">
            <w:rPr>
              <w:rFonts w:ascii="Times New Roman" w:hAnsi="Times New Roman"/>
              <w:b/>
            </w:rPr>
            <w:t xml:space="preserve"> </w:t>
          </w:r>
        </w:p>
      </w:tc>
    </w:tr>
  </w:tbl>
  <w:p w14:paraId="73A86FDA" w14:textId="77777777" w:rsidR="00E97C8B" w:rsidRDefault="00E97C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EB9D3" w14:textId="77777777" w:rsidR="000D43D5" w:rsidRDefault="000D43D5" w:rsidP="003F0AD0">
      <w:r>
        <w:separator/>
      </w:r>
    </w:p>
  </w:footnote>
  <w:footnote w:type="continuationSeparator" w:id="0">
    <w:p w14:paraId="17495037" w14:textId="77777777" w:rsidR="000D43D5" w:rsidRDefault="000D43D5" w:rsidP="003F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E62E" w14:textId="77777777" w:rsidR="00414735" w:rsidRDefault="00414735" w:rsidP="00E97C8B">
    <w:pPr>
      <w:jc w:val="center"/>
      <w:rPr>
        <w:color w:val="000090"/>
        <w:sz w:val="40"/>
        <w:szCs w:val="40"/>
        <w:lang w:val="fr-FR"/>
      </w:rPr>
    </w:pPr>
  </w:p>
  <w:p w14:paraId="5B631711" w14:textId="0C165FAB" w:rsidR="00E97C8B" w:rsidRPr="00A0225A" w:rsidRDefault="00414735" w:rsidP="00E97C8B">
    <w:pPr>
      <w:jc w:val="center"/>
      <w:rPr>
        <w:b/>
        <w:color w:val="000090"/>
        <w:sz w:val="40"/>
        <w:szCs w:val="40"/>
        <w:lang w:val="fr-FR"/>
      </w:rPr>
    </w:pPr>
    <w:r w:rsidRPr="00EE56AC">
      <w:rPr>
        <w:noProof/>
        <w:lang w:eastAsia="hu-HU"/>
      </w:rPr>
      <w:drawing>
        <wp:anchor distT="0" distB="0" distL="114300" distR="114300" simplePos="0" relativeHeight="251659264" behindDoc="0" locked="0" layoutInCell="1" allowOverlap="1" wp14:anchorId="3E66E330" wp14:editId="790691DA">
          <wp:simplePos x="0" y="0"/>
          <wp:positionH relativeFrom="column">
            <wp:posOffset>3810</wp:posOffset>
          </wp:positionH>
          <wp:positionV relativeFrom="page">
            <wp:posOffset>365125</wp:posOffset>
          </wp:positionV>
          <wp:extent cx="622300" cy="622300"/>
          <wp:effectExtent l="0" t="0" r="6350" b="6350"/>
          <wp:wrapSquare wrapText="bothSides"/>
          <wp:docPr id="18" name="Picture 1" descr="EDbU NOUV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bU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C8B" w:rsidRPr="00A0225A">
      <w:rPr>
        <w:color w:val="000090"/>
        <w:sz w:val="40"/>
        <w:szCs w:val="40"/>
        <w:lang w:val="fr-FR"/>
      </w:rPr>
      <w:t>L'Union européenne des sourdaveugles</w:t>
    </w:r>
  </w:p>
  <w:p w14:paraId="0378D998" w14:textId="77777777" w:rsidR="00E97C8B" w:rsidRPr="00A0225A" w:rsidRDefault="00E97C8B" w:rsidP="00E97C8B">
    <w:pPr>
      <w:jc w:val="center"/>
      <w:rPr>
        <w:b/>
        <w:color w:val="000090"/>
        <w:lang w:val="fr-FR"/>
      </w:rPr>
    </w:pPr>
    <w:r w:rsidRPr="00A0225A">
      <w:rPr>
        <w:color w:val="000090"/>
        <w:lang w:val="fr-FR"/>
      </w:rPr>
      <w:t>Établi le 22 octobre 2003</w:t>
    </w:r>
  </w:p>
  <w:p w14:paraId="66E9829A" w14:textId="54E97E47" w:rsidR="00E97C8B" w:rsidRDefault="00E97C8B" w:rsidP="008F0095">
    <w:pPr>
      <w:jc w:val="center"/>
    </w:pPr>
    <w:r w:rsidRPr="00C642E2">
      <w:rPr>
        <w:color w:val="000090"/>
      </w:rPr>
      <w:t>www.edbu.eu</w:t>
    </w:r>
  </w:p>
  <w:p w14:paraId="3D32F4E3" w14:textId="078E4100" w:rsidR="00C01E96" w:rsidRDefault="00C87C80">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A7D1D"/>
    <w:multiLevelType w:val="hybridMultilevel"/>
    <w:tmpl w:val="44782AB6"/>
    <w:lvl w:ilvl="0" w:tplc="CD04CA96">
      <w:start w:val="1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C485616"/>
    <w:multiLevelType w:val="hybridMultilevel"/>
    <w:tmpl w:val="61B61880"/>
    <w:lvl w:ilvl="0" w:tplc="CD04CA96">
      <w:start w:val="1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435518233">
    <w:abstractNumId w:val="1"/>
  </w:num>
  <w:num w:numId="2" w16cid:durableId="13160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1"/>
    <w:rsid w:val="0000217E"/>
    <w:rsid w:val="00004E72"/>
    <w:rsid w:val="00010EA0"/>
    <w:rsid w:val="000126F4"/>
    <w:rsid w:val="00013144"/>
    <w:rsid w:val="00013B48"/>
    <w:rsid w:val="000206C1"/>
    <w:rsid w:val="00020899"/>
    <w:rsid w:val="0002243F"/>
    <w:rsid w:val="00036390"/>
    <w:rsid w:val="00045401"/>
    <w:rsid w:val="000477BC"/>
    <w:rsid w:val="00057C68"/>
    <w:rsid w:val="000719AE"/>
    <w:rsid w:val="00086F03"/>
    <w:rsid w:val="000871C5"/>
    <w:rsid w:val="00091D43"/>
    <w:rsid w:val="00096D7F"/>
    <w:rsid w:val="00097385"/>
    <w:rsid w:val="000B6E04"/>
    <w:rsid w:val="000C7609"/>
    <w:rsid w:val="000D3E08"/>
    <w:rsid w:val="000D43D5"/>
    <w:rsid w:val="000E03EF"/>
    <w:rsid w:val="000E5120"/>
    <w:rsid w:val="000E7EA6"/>
    <w:rsid w:val="000F16F8"/>
    <w:rsid w:val="000F2445"/>
    <w:rsid w:val="00100CAA"/>
    <w:rsid w:val="00105A96"/>
    <w:rsid w:val="00107912"/>
    <w:rsid w:val="001113F7"/>
    <w:rsid w:val="00122A5B"/>
    <w:rsid w:val="00127254"/>
    <w:rsid w:val="00131416"/>
    <w:rsid w:val="0015587F"/>
    <w:rsid w:val="001635E6"/>
    <w:rsid w:val="001753C3"/>
    <w:rsid w:val="0019047E"/>
    <w:rsid w:val="001A6EA7"/>
    <w:rsid w:val="001B21E1"/>
    <w:rsid w:val="001B7C2D"/>
    <w:rsid w:val="001C2788"/>
    <w:rsid w:val="001C388D"/>
    <w:rsid w:val="001D7394"/>
    <w:rsid w:val="001E10A7"/>
    <w:rsid w:val="001E1921"/>
    <w:rsid w:val="001E5453"/>
    <w:rsid w:val="001F163D"/>
    <w:rsid w:val="001F17BC"/>
    <w:rsid w:val="001F1EBC"/>
    <w:rsid w:val="001F2BE9"/>
    <w:rsid w:val="001F3563"/>
    <w:rsid w:val="001F3EBC"/>
    <w:rsid w:val="00200C29"/>
    <w:rsid w:val="00205759"/>
    <w:rsid w:val="00206B2A"/>
    <w:rsid w:val="002113DF"/>
    <w:rsid w:val="00221A46"/>
    <w:rsid w:val="00222805"/>
    <w:rsid w:val="00223E28"/>
    <w:rsid w:val="00224A0B"/>
    <w:rsid w:val="00236AE1"/>
    <w:rsid w:val="00244A76"/>
    <w:rsid w:val="0025003F"/>
    <w:rsid w:val="0025281A"/>
    <w:rsid w:val="0025428D"/>
    <w:rsid w:val="002726A6"/>
    <w:rsid w:val="002768A5"/>
    <w:rsid w:val="00283C49"/>
    <w:rsid w:val="00287FB4"/>
    <w:rsid w:val="00290AAF"/>
    <w:rsid w:val="00290F0B"/>
    <w:rsid w:val="0029453B"/>
    <w:rsid w:val="002A470B"/>
    <w:rsid w:val="002B077F"/>
    <w:rsid w:val="002B4827"/>
    <w:rsid w:val="002C0DB5"/>
    <w:rsid w:val="002C1E3C"/>
    <w:rsid w:val="002C4C6E"/>
    <w:rsid w:val="002D763A"/>
    <w:rsid w:val="002E2057"/>
    <w:rsid w:val="002E26E2"/>
    <w:rsid w:val="002E37D0"/>
    <w:rsid w:val="002F0492"/>
    <w:rsid w:val="002F5AD4"/>
    <w:rsid w:val="002F7457"/>
    <w:rsid w:val="00312E15"/>
    <w:rsid w:val="0031308B"/>
    <w:rsid w:val="003130E0"/>
    <w:rsid w:val="00313EE6"/>
    <w:rsid w:val="00314B28"/>
    <w:rsid w:val="00314BBA"/>
    <w:rsid w:val="00323D66"/>
    <w:rsid w:val="00335178"/>
    <w:rsid w:val="00342559"/>
    <w:rsid w:val="003429B5"/>
    <w:rsid w:val="00343AAF"/>
    <w:rsid w:val="00352324"/>
    <w:rsid w:val="003541DB"/>
    <w:rsid w:val="0036777E"/>
    <w:rsid w:val="0037482B"/>
    <w:rsid w:val="00376EEF"/>
    <w:rsid w:val="00391733"/>
    <w:rsid w:val="00397A6F"/>
    <w:rsid w:val="00397CB9"/>
    <w:rsid w:val="003A0C04"/>
    <w:rsid w:val="003A65F0"/>
    <w:rsid w:val="003B0B0E"/>
    <w:rsid w:val="003B2725"/>
    <w:rsid w:val="003B6221"/>
    <w:rsid w:val="003B72D6"/>
    <w:rsid w:val="003D05BA"/>
    <w:rsid w:val="003D0BFD"/>
    <w:rsid w:val="003D32A6"/>
    <w:rsid w:val="003D4E16"/>
    <w:rsid w:val="003D61D8"/>
    <w:rsid w:val="003D736F"/>
    <w:rsid w:val="003E0CA1"/>
    <w:rsid w:val="003F0AD0"/>
    <w:rsid w:val="003F14F0"/>
    <w:rsid w:val="003F3738"/>
    <w:rsid w:val="0040573A"/>
    <w:rsid w:val="00405C7A"/>
    <w:rsid w:val="00407EAD"/>
    <w:rsid w:val="00414735"/>
    <w:rsid w:val="00420397"/>
    <w:rsid w:val="00436A48"/>
    <w:rsid w:val="004376ED"/>
    <w:rsid w:val="004538C2"/>
    <w:rsid w:val="00453A71"/>
    <w:rsid w:val="00454DA3"/>
    <w:rsid w:val="00455956"/>
    <w:rsid w:val="004567C6"/>
    <w:rsid w:val="00463745"/>
    <w:rsid w:val="00471D4B"/>
    <w:rsid w:val="0047564D"/>
    <w:rsid w:val="00486592"/>
    <w:rsid w:val="00487BD3"/>
    <w:rsid w:val="00491D0B"/>
    <w:rsid w:val="00496530"/>
    <w:rsid w:val="004A02E8"/>
    <w:rsid w:val="004A0341"/>
    <w:rsid w:val="004A4E73"/>
    <w:rsid w:val="004A5868"/>
    <w:rsid w:val="004C33CE"/>
    <w:rsid w:val="004C57FE"/>
    <w:rsid w:val="004C5F9C"/>
    <w:rsid w:val="004C6470"/>
    <w:rsid w:val="004C6F82"/>
    <w:rsid w:val="004D5AC4"/>
    <w:rsid w:val="004D62FA"/>
    <w:rsid w:val="004F47C8"/>
    <w:rsid w:val="005051D5"/>
    <w:rsid w:val="00507FDE"/>
    <w:rsid w:val="00514BF4"/>
    <w:rsid w:val="00527057"/>
    <w:rsid w:val="00540043"/>
    <w:rsid w:val="005441EB"/>
    <w:rsid w:val="0055660E"/>
    <w:rsid w:val="00556F98"/>
    <w:rsid w:val="0056209D"/>
    <w:rsid w:val="00562FE3"/>
    <w:rsid w:val="0056697F"/>
    <w:rsid w:val="005771AB"/>
    <w:rsid w:val="00577245"/>
    <w:rsid w:val="00584B4E"/>
    <w:rsid w:val="005902A0"/>
    <w:rsid w:val="0059325E"/>
    <w:rsid w:val="00596AA6"/>
    <w:rsid w:val="005973FB"/>
    <w:rsid w:val="005A150C"/>
    <w:rsid w:val="005B2A82"/>
    <w:rsid w:val="005C22A6"/>
    <w:rsid w:val="005C2D8A"/>
    <w:rsid w:val="005C4917"/>
    <w:rsid w:val="005C4D82"/>
    <w:rsid w:val="005D1918"/>
    <w:rsid w:val="005E4699"/>
    <w:rsid w:val="005E740C"/>
    <w:rsid w:val="005F1E3E"/>
    <w:rsid w:val="005F3BB6"/>
    <w:rsid w:val="005F7A01"/>
    <w:rsid w:val="00604234"/>
    <w:rsid w:val="00611E05"/>
    <w:rsid w:val="006132A7"/>
    <w:rsid w:val="0062295C"/>
    <w:rsid w:val="006248C3"/>
    <w:rsid w:val="00626961"/>
    <w:rsid w:val="0063645B"/>
    <w:rsid w:val="00642C92"/>
    <w:rsid w:val="00652E7B"/>
    <w:rsid w:val="00652F99"/>
    <w:rsid w:val="0066553B"/>
    <w:rsid w:val="00666771"/>
    <w:rsid w:val="00675000"/>
    <w:rsid w:val="0068445A"/>
    <w:rsid w:val="00685AF6"/>
    <w:rsid w:val="00686BE3"/>
    <w:rsid w:val="00686F28"/>
    <w:rsid w:val="00687A87"/>
    <w:rsid w:val="00687C53"/>
    <w:rsid w:val="00693F8B"/>
    <w:rsid w:val="00694C4D"/>
    <w:rsid w:val="00697F4E"/>
    <w:rsid w:val="006A31E2"/>
    <w:rsid w:val="006B2E36"/>
    <w:rsid w:val="006B4E6E"/>
    <w:rsid w:val="006C689E"/>
    <w:rsid w:val="006D27A3"/>
    <w:rsid w:val="006D3555"/>
    <w:rsid w:val="006D4C6F"/>
    <w:rsid w:val="006D6589"/>
    <w:rsid w:val="006D7903"/>
    <w:rsid w:val="006E3EFC"/>
    <w:rsid w:val="006F1D2D"/>
    <w:rsid w:val="00700545"/>
    <w:rsid w:val="00701F18"/>
    <w:rsid w:val="00707532"/>
    <w:rsid w:val="00711D01"/>
    <w:rsid w:val="00714FCD"/>
    <w:rsid w:val="00716F91"/>
    <w:rsid w:val="00721E4D"/>
    <w:rsid w:val="007245CE"/>
    <w:rsid w:val="00724BED"/>
    <w:rsid w:val="00736356"/>
    <w:rsid w:val="00740444"/>
    <w:rsid w:val="007418DB"/>
    <w:rsid w:val="007424D2"/>
    <w:rsid w:val="00744335"/>
    <w:rsid w:val="00745643"/>
    <w:rsid w:val="00747609"/>
    <w:rsid w:val="00752A04"/>
    <w:rsid w:val="00754F1A"/>
    <w:rsid w:val="0075507F"/>
    <w:rsid w:val="0076473B"/>
    <w:rsid w:val="00767373"/>
    <w:rsid w:val="00767935"/>
    <w:rsid w:val="00770503"/>
    <w:rsid w:val="00770595"/>
    <w:rsid w:val="00770B53"/>
    <w:rsid w:val="0077134E"/>
    <w:rsid w:val="0077443A"/>
    <w:rsid w:val="00785AA9"/>
    <w:rsid w:val="00796D1E"/>
    <w:rsid w:val="007A16E8"/>
    <w:rsid w:val="007A4954"/>
    <w:rsid w:val="007A61BE"/>
    <w:rsid w:val="007B266B"/>
    <w:rsid w:val="007B2F03"/>
    <w:rsid w:val="007B6403"/>
    <w:rsid w:val="007B7408"/>
    <w:rsid w:val="007C3296"/>
    <w:rsid w:val="007C5521"/>
    <w:rsid w:val="007D0B69"/>
    <w:rsid w:val="007D4A10"/>
    <w:rsid w:val="007E2613"/>
    <w:rsid w:val="007E52F8"/>
    <w:rsid w:val="007F2CCB"/>
    <w:rsid w:val="00802F30"/>
    <w:rsid w:val="0080360E"/>
    <w:rsid w:val="008116CC"/>
    <w:rsid w:val="00813160"/>
    <w:rsid w:val="00815227"/>
    <w:rsid w:val="008166C7"/>
    <w:rsid w:val="00823AAA"/>
    <w:rsid w:val="0083280F"/>
    <w:rsid w:val="008501C6"/>
    <w:rsid w:val="00863AB5"/>
    <w:rsid w:val="008708EC"/>
    <w:rsid w:val="00871A3C"/>
    <w:rsid w:val="00871C49"/>
    <w:rsid w:val="00873465"/>
    <w:rsid w:val="008754F9"/>
    <w:rsid w:val="00882DB3"/>
    <w:rsid w:val="00886B3F"/>
    <w:rsid w:val="00891099"/>
    <w:rsid w:val="008923B9"/>
    <w:rsid w:val="00895F97"/>
    <w:rsid w:val="008A0AFB"/>
    <w:rsid w:val="008A1497"/>
    <w:rsid w:val="008A78F0"/>
    <w:rsid w:val="008B7CB2"/>
    <w:rsid w:val="008D3C23"/>
    <w:rsid w:val="008D40B0"/>
    <w:rsid w:val="008E2831"/>
    <w:rsid w:val="008F0095"/>
    <w:rsid w:val="009132D9"/>
    <w:rsid w:val="00917CA8"/>
    <w:rsid w:val="00923D89"/>
    <w:rsid w:val="00926663"/>
    <w:rsid w:val="00930265"/>
    <w:rsid w:val="009428B4"/>
    <w:rsid w:val="00946F9A"/>
    <w:rsid w:val="009534B0"/>
    <w:rsid w:val="0096032C"/>
    <w:rsid w:val="009608BA"/>
    <w:rsid w:val="009722B7"/>
    <w:rsid w:val="00973B4A"/>
    <w:rsid w:val="0097706E"/>
    <w:rsid w:val="009813A7"/>
    <w:rsid w:val="00984F33"/>
    <w:rsid w:val="00996EEB"/>
    <w:rsid w:val="0099771F"/>
    <w:rsid w:val="009A5E88"/>
    <w:rsid w:val="009A7604"/>
    <w:rsid w:val="009B6DEC"/>
    <w:rsid w:val="009C073E"/>
    <w:rsid w:val="009C23DA"/>
    <w:rsid w:val="009C5281"/>
    <w:rsid w:val="009C59A2"/>
    <w:rsid w:val="009D0494"/>
    <w:rsid w:val="009D157E"/>
    <w:rsid w:val="009D27C4"/>
    <w:rsid w:val="009D42F8"/>
    <w:rsid w:val="009D5E1A"/>
    <w:rsid w:val="009D6229"/>
    <w:rsid w:val="009F2EEF"/>
    <w:rsid w:val="009F32F3"/>
    <w:rsid w:val="009F3619"/>
    <w:rsid w:val="009F482C"/>
    <w:rsid w:val="009F76A3"/>
    <w:rsid w:val="00A0225A"/>
    <w:rsid w:val="00A06642"/>
    <w:rsid w:val="00A07A1C"/>
    <w:rsid w:val="00A07FC4"/>
    <w:rsid w:val="00A11104"/>
    <w:rsid w:val="00A128F6"/>
    <w:rsid w:val="00A12D77"/>
    <w:rsid w:val="00A1371B"/>
    <w:rsid w:val="00A1489F"/>
    <w:rsid w:val="00A1640A"/>
    <w:rsid w:val="00A24DBF"/>
    <w:rsid w:val="00A27FC9"/>
    <w:rsid w:val="00A34BEC"/>
    <w:rsid w:val="00A37547"/>
    <w:rsid w:val="00A43992"/>
    <w:rsid w:val="00A506E0"/>
    <w:rsid w:val="00A515A9"/>
    <w:rsid w:val="00A72900"/>
    <w:rsid w:val="00A72A23"/>
    <w:rsid w:val="00A83774"/>
    <w:rsid w:val="00A859BE"/>
    <w:rsid w:val="00A863D6"/>
    <w:rsid w:val="00A9128D"/>
    <w:rsid w:val="00AA1CE5"/>
    <w:rsid w:val="00AB0513"/>
    <w:rsid w:val="00AB5F3E"/>
    <w:rsid w:val="00AC260E"/>
    <w:rsid w:val="00AC646D"/>
    <w:rsid w:val="00B02A42"/>
    <w:rsid w:val="00B03F96"/>
    <w:rsid w:val="00B0402D"/>
    <w:rsid w:val="00B13542"/>
    <w:rsid w:val="00B20C48"/>
    <w:rsid w:val="00B26EA3"/>
    <w:rsid w:val="00B40967"/>
    <w:rsid w:val="00B47AE3"/>
    <w:rsid w:val="00B5127C"/>
    <w:rsid w:val="00B6784B"/>
    <w:rsid w:val="00B71BF1"/>
    <w:rsid w:val="00B73F72"/>
    <w:rsid w:val="00B750EA"/>
    <w:rsid w:val="00B77CF1"/>
    <w:rsid w:val="00B82F46"/>
    <w:rsid w:val="00B85950"/>
    <w:rsid w:val="00B87D5C"/>
    <w:rsid w:val="00B925AE"/>
    <w:rsid w:val="00B945F6"/>
    <w:rsid w:val="00B949DB"/>
    <w:rsid w:val="00B95CF3"/>
    <w:rsid w:val="00BA0562"/>
    <w:rsid w:val="00BA33CA"/>
    <w:rsid w:val="00BA7B7D"/>
    <w:rsid w:val="00BB38BD"/>
    <w:rsid w:val="00BB4F31"/>
    <w:rsid w:val="00BB4F82"/>
    <w:rsid w:val="00BB7DBB"/>
    <w:rsid w:val="00BC1B29"/>
    <w:rsid w:val="00BD084E"/>
    <w:rsid w:val="00BE27F3"/>
    <w:rsid w:val="00BE31D2"/>
    <w:rsid w:val="00BE34C5"/>
    <w:rsid w:val="00BF1C00"/>
    <w:rsid w:val="00BF278A"/>
    <w:rsid w:val="00BF56BB"/>
    <w:rsid w:val="00C01E96"/>
    <w:rsid w:val="00C03E79"/>
    <w:rsid w:val="00C100D2"/>
    <w:rsid w:val="00C10F89"/>
    <w:rsid w:val="00C12289"/>
    <w:rsid w:val="00C2628C"/>
    <w:rsid w:val="00C34605"/>
    <w:rsid w:val="00C46E32"/>
    <w:rsid w:val="00C47A79"/>
    <w:rsid w:val="00C55250"/>
    <w:rsid w:val="00C57027"/>
    <w:rsid w:val="00C671B7"/>
    <w:rsid w:val="00C6765A"/>
    <w:rsid w:val="00C77B26"/>
    <w:rsid w:val="00C81C18"/>
    <w:rsid w:val="00C8417A"/>
    <w:rsid w:val="00C87090"/>
    <w:rsid w:val="00C87C80"/>
    <w:rsid w:val="00C96FAE"/>
    <w:rsid w:val="00CA1B4F"/>
    <w:rsid w:val="00CB658E"/>
    <w:rsid w:val="00CB7EB6"/>
    <w:rsid w:val="00CB7EDA"/>
    <w:rsid w:val="00CC45D6"/>
    <w:rsid w:val="00CD1BE7"/>
    <w:rsid w:val="00CD7E5C"/>
    <w:rsid w:val="00CE510E"/>
    <w:rsid w:val="00CF1644"/>
    <w:rsid w:val="00CF282E"/>
    <w:rsid w:val="00D04875"/>
    <w:rsid w:val="00D04A34"/>
    <w:rsid w:val="00D3236D"/>
    <w:rsid w:val="00D375CA"/>
    <w:rsid w:val="00D428F3"/>
    <w:rsid w:val="00D43A86"/>
    <w:rsid w:val="00D46F87"/>
    <w:rsid w:val="00D53542"/>
    <w:rsid w:val="00D6263F"/>
    <w:rsid w:val="00D63B23"/>
    <w:rsid w:val="00D70DDE"/>
    <w:rsid w:val="00D734E7"/>
    <w:rsid w:val="00D74068"/>
    <w:rsid w:val="00D75073"/>
    <w:rsid w:val="00D825EF"/>
    <w:rsid w:val="00D86CE2"/>
    <w:rsid w:val="00D90ECE"/>
    <w:rsid w:val="00DA1624"/>
    <w:rsid w:val="00DA39F9"/>
    <w:rsid w:val="00DA4603"/>
    <w:rsid w:val="00DB342D"/>
    <w:rsid w:val="00DB467B"/>
    <w:rsid w:val="00DB5585"/>
    <w:rsid w:val="00DC313F"/>
    <w:rsid w:val="00DC51FD"/>
    <w:rsid w:val="00DD032E"/>
    <w:rsid w:val="00DD551A"/>
    <w:rsid w:val="00DE01B0"/>
    <w:rsid w:val="00DE158E"/>
    <w:rsid w:val="00DE66B0"/>
    <w:rsid w:val="00DE7DAE"/>
    <w:rsid w:val="00E02C74"/>
    <w:rsid w:val="00E10286"/>
    <w:rsid w:val="00E10996"/>
    <w:rsid w:val="00E122A9"/>
    <w:rsid w:val="00E12C0B"/>
    <w:rsid w:val="00E163F5"/>
    <w:rsid w:val="00E2286E"/>
    <w:rsid w:val="00E26D49"/>
    <w:rsid w:val="00E33E27"/>
    <w:rsid w:val="00E35053"/>
    <w:rsid w:val="00E3683C"/>
    <w:rsid w:val="00E36CFB"/>
    <w:rsid w:val="00E52DE9"/>
    <w:rsid w:val="00E5386D"/>
    <w:rsid w:val="00E55F18"/>
    <w:rsid w:val="00E5665C"/>
    <w:rsid w:val="00E61CC3"/>
    <w:rsid w:val="00E64790"/>
    <w:rsid w:val="00E721A4"/>
    <w:rsid w:val="00E75396"/>
    <w:rsid w:val="00E87591"/>
    <w:rsid w:val="00E909DD"/>
    <w:rsid w:val="00E94D54"/>
    <w:rsid w:val="00E94E80"/>
    <w:rsid w:val="00E96995"/>
    <w:rsid w:val="00E96C68"/>
    <w:rsid w:val="00E97C8B"/>
    <w:rsid w:val="00EA43BE"/>
    <w:rsid w:val="00EC668D"/>
    <w:rsid w:val="00ED1B4B"/>
    <w:rsid w:val="00EE25C2"/>
    <w:rsid w:val="00EE32CD"/>
    <w:rsid w:val="00EE3E36"/>
    <w:rsid w:val="00EF5BF9"/>
    <w:rsid w:val="00F02E44"/>
    <w:rsid w:val="00F1146E"/>
    <w:rsid w:val="00F164CB"/>
    <w:rsid w:val="00F62666"/>
    <w:rsid w:val="00F63932"/>
    <w:rsid w:val="00F71AA0"/>
    <w:rsid w:val="00F72A5E"/>
    <w:rsid w:val="00F74DC3"/>
    <w:rsid w:val="00F83A0F"/>
    <w:rsid w:val="00F9045F"/>
    <w:rsid w:val="00F90B09"/>
    <w:rsid w:val="00F90C7B"/>
    <w:rsid w:val="00F925BE"/>
    <w:rsid w:val="00F93C8B"/>
    <w:rsid w:val="00F95EEC"/>
    <w:rsid w:val="00FA4EAD"/>
    <w:rsid w:val="00FA741B"/>
    <w:rsid w:val="00FA7FB2"/>
    <w:rsid w:val="00FB6E49"/>
    <w:rsid w:val="00FC00B1"/>
    <w:rsid w:val="00FC1FB3"/>
    <w:rsid w:val="00FC3D0E"/>
    <w:rsid w:val="00FD400D"/>
    <w:rsid w:val="00FE3E25"/>
    <w:rsid w:val="00FE7285"/>
    <w:rsid w:val="00FF174F"/>
    <w:rsid w:val="00FF17D0"/>
    <w:rsid w:val="00FF72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FA5BC"/>
  <w15:chartTrackingRefBased/>
  <w15:docId w15:val="{37839AAC-354C-A141-83C5-112AF0B6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 w:bidi="e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val="en-GB"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F91"/>
    <w:pPr>
      <w:ind w:left="720"/>
      <w:contextualSpacing/>
    </w:pPr>
  </w:style>
  <w:style w:type="character" w:styleId="Lienhypertexte">
    <w:name w:val="Hyperlink"/>
    <w:basedOn w:val="Policepardfaut"/>
    <w:uiPriority w:val="99"/>
    <w:unhideWhenUsed/>
    <w:rsid w:val="007B7408"/>
    <w:rPr>
      <w:color w:val="0563C1" w:themeColor="hyperlink"/>
      <w:u w:val="single"/>
    </w:rPr>
  </w:style>
  <w:style w:type="character" w:customStyle="1" w:styleId="Mencinsinresolver1">
    <w:name w:val="Mención sin resolver1"/>
    <w:basedOn w:val="Policepardfaut"/>
    <w:uiPriority w:val="99"/>
    <w:semiHidden/>
    <w:unhideWhenUsed/>
    <w:rsid w:val="007B7408"/>
    <w:rPr>
      <w:color w:val="605E5C"/>
      <w:shd w:val="clear" w:color="auto" w:fill="E1DFDD"/>
    </w:rPr>
  </w:style>
  <w:style w:type="character" w:customStyle="1" w:styleId="Mentionnonrsolue1">
    <w:name w:val="Mention non résolue1"/>
    <w:basedOn w:val="Policepardfaut"/>
    <w:uiPriority w:val="99"/>
    <w:rsid w:val="00767935"/>
    <w:rPr>
      <w:color w:val="605E5C"/>
      <w:shd w:val="clear" w:color="auto" w:fill="E1DFDD"/>
    </w:rPr>
  </w:style>
  <w:style w:type="character" w:styleId="Lienhypertextesuivivisit">
    <w:name w:val="FollowedHyperlink"/>
    <w:basedOn w:val="Policepardfaut"/>
    <w:uiPriority w:val="99"/>
    <w:semiHidden/>
    <w:unhideWhenUsed/>
    <w:rsid w:val="00DA4603"/>
    <w:rPr>
      <w:color w:val="954F72" w:themeColor="followedHyperlink"/>
      <w:u w:val="single"/>
    </w:rPr>
  </w:style>
  <w:style w:type="paragraph" w:styleId="En-tte">
    <w:name w:val="header"/>
    <w:basedOn w:val="Normal"/>
    <w:link w:val="En-tteCar"/>
    <w:uiPriority w:val="99"/>
    <w:unhideWhenUsed/>
    <w:rsid w:val="003F0AD0"/>
    <w:pPr>
      <w:tabs>
        <w:tab w:val="center" w:pos="4536"/>
        <w:tab w:val="right" w:pos="9072"/>
      </w:tabs>
    </w:pPr>
  </w:style>
  <w:style w:type="character" w:customStyle="1" w:styleId="En-tteCar">
    <w:name w:val="En-tête Car"/>
    <w:basedOn w:val="Policepardfaut"/>
    <w:link w:val="En-tte"/>
    <w:uiPriority w:val="99"/>
    <w:rsid w:val="003F0AD0"/>
    <w:rPr>
      <w:rFonts w:cs="Times New Roman"/>
      <w:lang w:val="en-GB" w:bidi="ar-SA"/>
    </w:rPr>
  </w:style>
  <w:style w:type="paragraph" w:styleId="Pieddepage">
    <w:name w:val="footer"/>
    <w:basedOn w:val="Normal"/>
    <w:link w:val="PieddepageCar"/>
    <w:uiPriority w:val="99"/>
    <w:unhideWhenUsed/>
    <w:rsid w:val="003F0AD0"/>
    <w:pPr>
      <w:tabs>
        <w:tab w:val="center" w:pos="4536"/>
        <w:tab w:val="right" w:pos="9072"/>
      </w:tabs>
    </w:pPr>
  </w:style>
  <w:style w:type="character" w:customStyle="1" w:styleId="PieddepageCar">
    <w:name w:val="Pied de page Car"/>
    <w:basedOn w:val="Policepardfaut"/>
    <w:link w:val="Pieddepage"/>
    <w:uiPriority w:val="99"/>
    <w:rsid w:val="003F0AD0"/>
    <w:rPr>
      <w:rFonts w:cs="Times New Roman"/>
      <w:lang w:val="en-GB" w:bidi="ar-SA"/>
    </w:rPr>
  </w:style>
  <w:style w:type="table" w:styleId="Grilledutableau">
    <w:name w:val="Table Grid"/>
    <w:basedOn w:val="TableauNormal"/>
    <w:uiPriority w:val="39"/>
    <w:rsid w:val="00B71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61CC3"/>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61CC3"/>
    <w:rPr>
      <w:rFonts w:ascii="Times New Roman" w:hAnsi="Times New Roman" w:cs="Times New Roman"/>
      <w:sz w:val="18"/>
      <w:szCs w:val="18"/>
      <w:lang w:val="en-GB" w:bidi="ar-SA"/>
    </w:rPr>
  </w:style>
  <w:style w:type="paragraph" w:styleId="NormalWeb">
    <w:name w:val="Normal (Web)"/>
    <w:basedOn w:val="Normal"/>
    <w:uiPriority w:val="99"/>
    <w:semiHidden/>
    <w:unhideWhenUsed/>
    <w:rsid w:val="00796D1E"/>
    <w:pPr>
      <w:spacing w:before="100" w:beforeAutospacing="1" w:after="100" w:afterAutospacing="1"/>
    </w:pPr>
    <w:rPr>
      <w:rFonts w:ascii="Times New Roman" w:eastAsia="Times New Roman" w:hAnsi="Times New Roman"/>
      <w:lang w:val="es-ES" w:eastAsia="es-ES_tradnl"/>
    </w:rPr>
  </w:style>
  <w:style w:type="character" w:customStyle="1" w:styleId="apple-converted-space">
    <w:name w:val="apple-converted-space"/>
    <w:basedOn w:val="Policepardfaut"/>
    <w:rsid w:val="00796D1E"/>
  </w:style>
  <w:style w:type="character" w:styleId="lev">
    <w:name w:val="Strong"/>
    <w:basedOn w:val="Policepardfaut"/>
    <w:uiPriority w:val="22"/>
    <w:qFormat/>
    <w:rsid w:val="00796D1E"/>
    <w:rPr>
      <w:b/>
      <w:bCs/>
    </w:rPr>
  </w:style>
  <w:style w:type="character" w:styleId="Textedelespacerserv">
    <w:name w:val="Placeholder Text"/>
    <w:basedOn w:val="Policepardfaut"/>
    <w:uiPriority w:val="99"/>
    <w:semiHidden/>
    <w:rsid w:val="00A022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5462">
      <w:bodyDiv w:val="1"/>
      <w:marLeft w:val="0"/>
      <w:marRight w:val="0"/>
      <w:marTop w:val="0"/>
      <w:marBottom w:val="0"/>
      <w:divBdr>
        <w:top w:val="none" w:sz="0" w:space="0" w:color="auto"/>
        <w:left w:val="none" w:sz="0" w:space="0" w:color="auto"/>
        <w:bottom w:val="none" w:sz="0" w:space="0" w:color="auto"/>
        <w:right w:val="none" w:sz="0" w:space="0" w:color="auto"/>
      </w:divBdr>
    </w:div>
    <w:div w:id="214243382">
      <w:bodyDiv w:val="1"/>
      <w:marLeft w:val="0"/>
      <w:marRight w:val="0"/>
      <w:marTop w:val="0"/>
      <w:marBottom w:val="0"/>
      <w:divBdr>
        <w:top w:val="none" w:sz="0" w:space="0" w:color="auto"/>
        <w:left w:val="none" w:sz="0" w:space="0" w:color="auto"/>
        <w:bottom w:val="none" w:sz="0" w:space="0" w:color="auto"/>
        <w:right w:val="none" w:sz="0" w:space="0" w:color="auto"/>
      </w:divBdr>
    </w:div>
    <w:div w:id="302541426">
      <w:bodyDiv w:val="1"/>
      <w:marLeft w:val="0"/>
      <w:marRight w:val="0"/>
      <w:marTop w:val="0"/>
      <w:marBottom w:val="0"/>
      <w:divBdr>
        <w:top w:val="none" w:sz="0" w:space="0" w:color="auto"/>
        <w:left w:val="none" w:sz="0" w:space="0" w:color="auto"/>
        <w:bottom w:val="none" w:sz="0" w:space="0" w:color="auto"/>
        <w:right w:val="none" w:sz="0" w:space="0" w:color="auto"/>
      </w:divBdr>
    </w:div>
    <w:div w:id="418872792">
      <w:bodyDiv w:val="1"/>
      <w:marLeft w:val="0"/>
      <w:marRight w:val="0"/>
      <w:marTop w:val="0"/>
      <w:marBottom w:val="0"/>
      <w:divBdr>
        <w:top w:val="none" w:sz="0" w:space="0" w:color="auto"/>
        <w:left w:val="none" w:sz="0" w:space="0" w:color="auto"/>
        <w:bottom w:val="none" w:sz="0" w:space="0" w:color="auto"/>
        <w:right w:val="none" w:sz="0" w:space="0" w:color="auto"/>
      </w:divBdr>
    </w:div>
    <w:div w:id="526454207">
      <w:bodyDiv w:val="1"/>
      <w:marLeft w:val="0"/>
      <w:marRight w:val="0"/>
      <w:marTop w:val="0"/>
      <w:marBottom w:val="0"/>
      <w:divBdr>
        <w:top w:val="none" w:sz="0" w:space="0" w:color="auto"/>
        <w:left w:val="none" w:sz="0" w:space="0" w:color="auto"/>
        <w:bottom w:val="none" w:sz="0" w:space="0" w:color="auto"/>
        <w:right w:val="none" w:sz="0" w:space="0" w:color="auto"/>
      </w:divBdr>
    </w:div>
    <w:div w:id="563293324">
      <w:bodyDiv w:val="1"/>
      <w:marLeft w:val="0"/>
      <w:marRight w:val="0"/>
      <w:marTop w:val="0"/>
      <w:marBottom w:val="0"/>
      <w:divBdr>
        <w:top w:val="none" w:sz="0" w:space="0" w:color="auto"/>
        <w:left w:val="none" w:sz="0" w:space="0" w:color="auto"/>
        <w:bottom w:val="none" w:sz="0" w:space="0" w:color="auto"/>
        <w:right w:val="none" w:sz="0" w:space="0" w:color="auto"/>
      </w:divBdr>
    </w:div>
    <w:div w:id="588737021">
      <w:bodyDiv w:val="1"/>
      <w:marLeft w:val="0"/>
      <w:marRight w:val="0"/>
      <w:marTop w:val="0"/>
      <w:marBottom w:val="0"/>
      <w:divBdr>
        <w:top w:val="none" w:sz="0" w:space="0" w:color="auto"/>
        <w:left w:val="none" w:sz="0" w:space="0" w:color="auto"/>
        <w:bottom w:val="none" w:sz="0" w:space="0" w:color="auto"/>
        <w:right w:val="none" w:sz="0" w:space="0" w:color="auto"/>
      </w:divBdr>
    </w:div>
    <w:div w:id="787090304">
      <w:bodyDiv w:val="1"/>
      <w:marLeft w:val="0"/>
      <w:marRight w:val="0"/>
      <w:marTop w:val="0"/>
      <w:marBottom w:val="0"/>
      <w:divBdr>
        <w:top w:val="none" w:sz="0" w:space="0" w:color="auto"/>
        <w:left w:val="none" w:sz="0" w:space="0" w:color="auto"/>
        <w:bottom w:val="none" w:sz="0" w:space="0" w:color="auto"/>
        <w:right w:val="none" w:sz="0" w:space="0" w:color="auto"/>
      </w:divBdr>
    </w:div>
    <w:div w:id="788664320">
      <w:bodyDiv w:val="1"/>
      <w:marLeft w:val="0"/>
      <w:marRight w:val="0"/>
      <w:marTop w:val="0"/>
      <w:marBottom w:val="0"/>
      <w:divBdr>
        <w:top w:val="none" w:sz="0" w:space="0" w:color="auto"/>
        <w:left w:val="none" w:sz="0" w:space="0" w:color="auto"/>
        <w:bottom w:val="none" w:sz="0" w:space="0" w:color="auto"/>
        <w:right w:val="none" w:sz="0" w:space="0" w:color="auto"/>
      </w:divBdr>
      <w:divsChild>
        <w:div w:id="219635617">
          <w:marLeft w:val="0"/>
          <w:marRight w:val="0"/>
          <w:marTop w:val="0"/>
          <w:marBottom w:val="0"/>
          <w:divBdr>
            <w:top w:val="none" w:sz="0" w:space="0" w:color="auto"/>
            <w:left w:val="none" w:sz="0" w:space="0" w:color="auto"/>
            <w:bottom w:val="none" w:sz="0" w:space="0" w:color="auto"/>
            <w:right w:val="none" w:sz="0" w:space="0" w:color="auto"/>
          </w:divBdr>
        </w:div>
        <w:div w:id="1218202457">
          <w:marLeft w:val="0"/>
          <w:marRight w:val="0"/>
          <w:marTop w:val="0"/>
          <w:marBottom w:val="0"/>
          <w:divBdr>
            <w:top w:val="none" w:sz="0" w:space="0" w:color="auto"/>
            <w:left w:val="none" w:sz="0" w:space="0" w:color="auto"/>
            <w:bottom w:val="none" w:sz="0" w:space="0" w:color="auto"/>
            <w:right w:val="none" w:sz="0" w:space="0" w:color="auto"/>
          </w:divBdr>
        </w:div>
      </w:divsChild>
    </w:div>
    <w:div w:id="974406161">
      <w:bodyDiv w:val="1"/>
      <w:marLeft w:val="0"/>
      <w:marRight w:val="0"/>
      <w:marTop w:val="0"/>
      <w:marBottom w:val="0"/>
      <w:divBdr>
        <w:top w:val="none" w:sz="0" w:space="0" w:color="auto"/>
        <w:left w:val="none" w:sz="0" w:space="0" w:color="auto"/>
        <w:bottom w:val="none" w:sz="0" w:space="0" w:color="auto"/>
        <w:right w:val="none" w:sz="0" w:space="0" w:color="auto"/>
      </w:divBdr>
    </w:div>
    <w:div w:id="1064374999">
      <w:bodyDiv w:val="1"/>
      <w:marLeft w:val="0"/>
      <w:marRight w:val="0"/>
      <w:marTop w:val="0"/>
      <w:marBottom w:val="0"/>
      <w:divBdr>
        <w:top w:val="none" w:sz="0" w:space="0" w:color="auto"/>
        <w:left w:val="none" w:sz="0" w:space="0" w:color="auto"/>
        <w:bottom w:val="none" w:sz="0" w:space="0" w:color="auto"/>
        <w:right w:val="none" w:sz="0" w:space="0" w:color="auto"/>
      </w:divBdr>
    </w:div>
    <w:div w:id="1102143993">
      <w:bodyDiv w:val="1"/>
      <w:marLeft w:val="0"/>
      <w:marRight w:val="0"/>
      <w:marTop w:val="0"/>
      <w:marBottom w:val="0"/>
      <w:divBdr>
        <w:top w:val="none" w:sz="0" w:space="0" w:color="auto"/>
        <w:left w:val="none" w:sz="0" w:space="0" w:color="auto"/>
        <w:bottom w:val="none" w:sz="0" w:space="0" w:color="auto"/>
        <w:right w:val="none" w:sz="0" w:space="0" w:color="auto"/>
      </w:divBdr>
    </w:div>
    <w:div w:id="1108549775">
      <w:bodyDiv w:val="1"/>
      <w:marLeft w:val="0"/>
      <w:marRight w:val="0"/>
      <w:marTop w:val="0"/>
      <w:marBottom w:val="0"/>
      <w:divBdr>
        <w:top w:val="none" w:sz="0" w:space="0" w:color="auto"/>
        <w:left w:val="none" w:sz="0" w:space="0" w:color="auto"/>
        <w:bottom w:val="none" w:sz="0" w:space="0" w:color="auto"/>
        <w:right w:val="none" w:sz="0" w:space="0" w:color="auto"/>
      </w:divBdr>
    </w:div>
    <w:div w:id="1132098110">
      <w:bodyDiv w:val="1"/>
      <w:marLeft w:val="0"/>
      <w:marRight w:val="0"/>
      <w:marTop w:val="0"/>
      <w:marBottom w:val="0"/>
      <w:divBdr>
        <w:top w:val="none" w:sz="0" w:space="0" w:color="auto"/>
        <w:left w:val="none" w:sz="0" w:space="0" w:color="auto"/>
        <w:bottom w:val="none" w:sz="0" w:space="0" w:color="auto"/>
        <w:right w:val="none" w:sz="0" w:space="0" w:color="auto"/>
      </w:divBdr>
    </w:div>
    <w:div w:id="1146093851">
      <w:bodyDiv w:val="1"/>
      <w:marLeft w:val="0"/>
      <w:marRight w:val="0"/>
      <w:marTop w:val="0"/>
      <w:marBottom w:val="0"/>
      <w:divBdr>
        <w:top w:val="none" w:sz="0" w:space="0" w:color="auto"/>
        <w:left w:val="none" w:sz="0" w:space="0" w:color="auto"/>
        <w:bottom w:val="none" w:sz="0" w:space="0" w:color="auto"/>
        <w:right w:val="none" w:sz="0" w:space="0" w:color="auto"/>
      </w:divBdr>
    </w:div>
    <w:div w:id="1195968213">
      <w:bodyDiv w:val="1"/>
      <w:marLeft w:val="0"/>
      <w:marRight w:val="0"/>
      <w:marTop w:val="0"/>
      <w:marBottom w:val="0"/>
      <w:divBdr>
        <w:top w:val="none" w:sz="0" w:space="0" w:color="auto"/>
        <w:left w:val="none" w:sz="0" w:space="0" w:color="auto"/>
        <w:bottom w:val="none" w:sz="0" w:space="0" w:color="auto"/>
        <w:right w:val="none" w:sz="0" w:space="0" w:color="auto"/>
      </w:divBdr>
    </w:div>
    <w:div w:id="1211378014">
      <w:bodyDiv w:val="1"/>
      <w:marLeft w:val="0"/>
      <w:marRight w:val="0"/>
      <w:marTop w:val="0"/>
      <w:marBottom w:val="0"/>
      <w:divBdr>
        <w:top w:val="none" w:sz="0" w:space="0" w:color="auto"/>
        <w:left w:val="none" w:sz="0" w:space="0" w:color="auto"/>
        <w:bottom w:val="none" w:sz="0" w:space="0" w:color="auto"/>
        <w:right w:val="none" w:sz="0" w:space="0" w:color="auto"/>
      </w:divBdr>
    </w:div>
    <w:div w:id="1343819452">
      <w:bodyDiv w:val="1"/>
      <w:marLeft w:val="0"/>
      <w:marRight w:val="0"/>
      <w:marTop w:val="0"/>
      <w:marBottom w:val="0"/>
      <w:divBdr>
        <w:top w:val="none" w:sz="0" w:space="0" w:color="auto"/>
        <w:left w:val="none" w:sz="0" w:space="0" w:color="auto"/>
        <w:bottom w:val="none" w:sz="0" w:space="0" w:color="auto"/>
        <w:right w:val="none" w:sz="0" w:space="0" w:color="auto"/>
      </w:divBdr>
    </w:div>
    <w:div w:id="1628004012">
      <w:bodyDiv w:val="1"/>
      <w:marLeft w:val="0"/>
      <w:marRight w:val="0"/>
      <w:marTop w:val="0"/>
      <w:marBottom w:val="0"/>
      <w:divBdr>
        <w:top w:val="none" w:sz="0" w:space="0" w:color="auto"/>
        <w:left w:val="none" w:sz="0" w:space="0" w:color="auto"/>
        <w:bottom w:val="none" w:sz="0" w:space="0" w:color="auto"/>
        <w:right w:val="none" w:sz="0" w:space="0" w:color="auto"/>
      </w:divBdr>
      <w:divsChild>
        <w:div w:id="52189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4193">
      <w:bodyDiv w:val="1"/>
      <w:marLeft w:val="0"/>
      <w:marRight w:val="0"/>
      <w:marTop w:val="0"/>
      <w:marBottom w:val="0"/>
      <w:divBdr>
        <w:top w:val="none" w:sz="0" w:space="0" w:color="auto"/>
        <w:left w:val="none" w:sz="0" w:space="0" w:color="auto"/>
        <w:bottom w:val="none" w:sz="0" w:space="0" w:color="auto"/>
        <w:right w:val="none" w:sz="0" w:space="0" w:color="auto"/>
      </w:divBdr>
    </w:div>
    <w:div w:id="1715622065">
      <w:bodyDiv w:val="1"/>
      <w:marLeft w:val="0"/>
      <w:marRight w:val="0"/>
      <w:marTop w:val="0"/>
      <w:marBottom w:val="0"/>
      <w:divBdr>
        <w:top w:val="none" w:sz="0" w:space="0" w:color="auto"/>
        <w:left w:val="none" w:sz="0" w:space="0" w:color="auto"/>
        <w:bottom w:val="none" w:sz="0" w:space="0" w:color="auto"/>
        <w:right w:val="none" w:sz="0" w:space="0" w:color="auto"/>
      </w:divBdr>
    </w:div>
    <w:div w:id="1726221408">
      <w:bodyDiv w:val="1"/>
      <w:marLeft w:val="0"/>
      <w:marRight w:val="0"/>
      <w:marTop w:val="0"/>
      <w:marBottom w:val="0"/>
      <w:divBdr>
        <w:top w:val="none" w:sz="0" w:space="0" w:color="auto"/>
        <w:left w:val="none" w:sz="0" w:space="0" w:color="auto"/>
        <w:bottom w:val="none" w:sz="0" w:space="0" w:color="auto"/>
        <w:right w:val="none" w:sz="0" w:space="0" w:color="auto"/>
      </w:divBdr>
    </w:div>
    <w:div w:id="18796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dbu@edbu.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EBB55-285F-4121-B283-599A2A22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1305</Words>
  <Characters>7179</Characters>
  <Application>Microsoft Office Word</Application>
  <DocSecurity>0</DocSecurity>
  <Lines>59</Lines>
  <Paragraphs>16</Paragraphs>
  <ScaleCrop>false</ScaleCrop>
  <HeadingPairs>
    <vt:vector size="4" baseType="variant">
      <vt:variant>
        <vt:lpstr>Cím</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Jacqueline Ilic</cp:lastModifiedBy>
  <cp:revision>4</cp:revision>
  <dcterms:created xsi:type="dcterms:W3CDTF">2024-10-22T07:43:00Z</dcterms:created>
  <dcterms:modified xsi:type="dcterms:W3CDTF">2024-10-22T07:45:00Z</dcterms:modified>
</cp:coreProperties>
</file>